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268</w:t>
      </w:r>
    </w:p>
    <w:p>
      <w:r>
        <w:rPr>
          <w:b/>
        </w:rPr>
        <w:t xml:space="preserve">Datum: </w:t>
      </w:r>
      <w:r>
        <w:t>1917-04-23</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Gustaf Barthelson (–, man)</w:t>
      </w:r>
    </w:p>
    <w:p>
      <w:r>
        <w:rPr>
          <w:b w:val="0"/>
        </w:rPr>
        <w:t>Såsom av lagutskottets utlåtande framgår och såsom kammaren för övrigt vet, har ju riksdagen redan antagit ett förslag till ändring av en viss paragraf i strafflagen, åsyftande skydd mot skadegörelse genom kådtagning. Motivet för antagandet av detta lagförslag var ju den betydande skadegörelse, som visade sig äga rum å skogen rån de personer, som bedrevo</w:t>
        <w:br/>
        <w:br/>
        <w:t>denna kådtagning. Såsom jag i en motion vid 1914 års riksdag påvisade — en motion som här av lagutskottet delvis refereras — sker genom den fria, okontrollerade kottagningen skadegörelse på skog i en omfattning, som icke allenast är jämförbar i avseende på skadan med den skadegörelse som nu sker genom kådtagning, utan som är, vill jag påstå, av ännu farligare beskaffenhet. Jag har i denna motion påvisat, hur kottplockarna icke nöja sig med att endast riva ned kottar från träden, utan för att komma åt den största möjliga kvantitet avhvggas grenar och till och med avsågas topparna på timmerträd. Var och en bör väl förstå, att denna skadegörelse är av sådant omfång, att den är till fullo jämförbar med den skadegörelse, som sker genom kådtagning och som riksdagen för sin del beaktat. Men därtill kommer, mina herrar, att genom kottarnas borttagande därmed borttages utsädet för skogsägaren. När såsom nu sker kottarna borttagas på fröträden och kantträden, d. v. s. de träd som äro nödvändiga för åstadkommande av självåterväxt, är ju skogsägaren därigenom urståndsatt att erhålla självåterväxt å sina hyggen, och vilken form för erhållandet av återväxt av skogen är den vanliga här i landet. Jag har i nämnda motion påvisat även en annan fara av att skogsägaren mister sitt utsäde. Vi hava, såsom vi veta, en mycket dyrköpt erfarenhet av att använda olämpligt tallfrö. Jag vill i detta fall erinra om, att vi hava betydande arealer i vårt land, som varit beväxta med skog, uppdragen av tyskt frö. Dessa stora arealer hava dels måst avverkas och dels måste de ofta nog avverkas, innan skogen uppnått ens sådana dimensioner, att den betalar avverkningskostnaden. Erfarenheten i detta avseende är genom skogsförsöksanstaltens undersökningar den, att vi måste iakttaga den största försiktighet, när det är fråga om att använda även eget frö av tall. Det har nämligen visat sig vid dessa försök, att skogsfrö från södra Sverige icke duger att användas i Norrland och att till och med frö från södra Norrland icke lämpar sig att med fördel användas i de norra delarna. Är det nu så, att skogsägaren berövas sitt eget frö, måste han, för att skaffa sig återväxt, köpa frö. Då har den enskilde skogsägaren icke någon garanti för att han skall erhålla det frö, som passar för hans skogsområde. Även denna omständighet synes mig böra tagas i betraktande, när man vill fatta beslut i föreliggande fråga. Jag anser, att de skäl, som från nationalekonomisk synpunkt hava åberopats för ett förbud mot fri kådtagning, göra sig i lika, för att icke säga ännu högre, grad gällande, då det är fråga om den fria kottplockningen i våra skogar. Och konsekvensen borde därför fordra, att riksdagen också beslutar i enlighet med vad utskottet här har föreslagit. . . Slutligen skall jag be att få yttra några ord med anledning av vad herr Petrén här har vttrat och med anledning av vad reservationen i allmänhet innehåller. Av reservationen ser man, att reservanten herr Lindhagen för sin del anser, att denna kottplockning är föranledd av krigskonjunkturerna. Att så icke är fallet</w:t>
        <w:br/>
        <w:br/>
        <w:t>torde framgå av vad jag redan yttrat, då jag nämnde, att jag redan 1914 avgav en motion i samma syfte som det, som nu har föranlett utskottets utlåtande, således före nu rådande krigskonjunktur.</w:t>
        <w:br/>
        <w:br/>
        <w:t>Herr Petrén yttrade bland annat, att från juridisk synpunkt sett kunde man icke säga, om kottarna tillhöra skogsägaren eller jordägaren. För mig som icke är jurist, förefaller det högst märkvärdigt, om den person som planterat träden icke skulle rå om vare sig frö eller grenar, under det att den som planterar en trädgård, skall hava rätt till träden och deras avkastning. För mig finnes det icke någon skillnad i det avseendet mellan skogar och trädgårdar. Man bör med lika rätt disponera över det ena som det andra. För övrigt vill jag rörande det juridiska spörsmålet nämna, att i det lagförslag, som redan utarbetats och remitterats till yttrande av myndigheter m. fl. rörande bärplockning å annans mark, är intagen i lagtexten en paragraf, i vilken det föreslås förbud mot att olovligen taga kottar på annans träd.</w:t>
        <w:br/>
        <w:br/>
        <w:t>Herr Petrén säger vidare, att domänstyrelsen icke yttrat sig i sina årsberättelser om denna skadegörelse, och att det därför icke föreligger något skäl att gå med på utskottets förslag, ty det är icke bevisat, att skadegörelse äger rum. Jag vill med anledning därav säga, att jag icke kan yttra mig om, huruvida det förekommer i alla berättelser, men jag vill framhålla mot detta, att domänstyrelsens tjänstemän och samtliga överjägmästare 1913, då denna fråga bragtes på tal vid överläggningar i domänstyrelsen, uttalade = just för någonting sådant, som här i utskottets betänkande föreslås.</w:t>
        <w:br/>
        <w:br/>
        <w:t>Jag vill vidare erinra om, att för att styrka min motion 1914, ett fyrtiotal jägmästare till mig skickade uttalanden, vari de livligt instämde med min motion, att det måtte stadgas förbud att taga kottar från växande träd på annans mark, så att från sakkunnigt håll vågar jag påstå, att det varit tillräckligt med uttalanden, som konstatera behovet av den här föreslagna lagen.</w:t>
        <w:br/>
        <w:br/>
        <w:t>Jag skall i detta sammanhang, då det är fråga om yttrande av sakkunniga, be att få läsa upp en del ur en skrivelse, som jag i dag mottagit från en på detta område sakkunnig person, nämligen föreståndaren för statens skogsförsöksanstalts avdelning för föryngringsförsök i Norrland. Han säger bland annat: »För att avvärja detta — risken av skogsbrist i Norrland — måste redan nu varje norrländsk skogsägare ägna den allra största omsorg åt skogsföryngringen, vilket sker först och främst därigenom, att avverkningen uttages på så sätt, att markens efterföljande självbesåning i möjligaste mån gynnas, i andra rummet genom direkta skogsodlingsåtgärder. Dessa senare bliva nämligen alltid dvrare och i Norrland med dess i förhållande till avstånden och arealerna ringa befolkning än mer än i södra Sverige. Den norrländske skogsägaren måste av dessa skäl i ännu högre grad än den sydsvenske lita till den naturliga hyggesbesåningen — med eller utan föregående markberedning.»</w:t>
        <w:br/>
        <w:br/>
        <w:t>»Det är under sådana förhållanden givetvis av största vwikt, att han har makt att skydda och bevara den kott-tillgång på skogen i hyggeskanterna och på fröträden, varav den påräknade skogsföryngringen i de flesta fall helt och hållet beror. I all synnerhet tycks mig billigheten kräva, att han äger denna rätt i de delar av Norrland, för vilka 1903 års lag om 'enskilda skogar är gällande, och varest skogsägaren sålunda är skyldig att vid avverkning sörja för skogens framtida bestånd.»</w:t>
        <w:br/>
        <w:br/>
        <w:t>Detta jämte vad förut nämnts tyder som nämnts på, att sakkunskapen har tillräckligt uttalat sig i detta fall för lagbestämmelser, som skydda skogsägaren mot att förlora sitt utsäde.</w:t>
        <w:br/>
        <w:br/>
        <w:t>Såsom jag nämnde synes det av allt detta, som om konsekvensen borde fordra, att riksdagens beslut i fråga om kådtagning också kommer att gälla den nu fria kottplockningen i vårt land, och får jag därföre, herr greve och talman, på grund av vad jag anfört anhålla om bifall till lagutskottets hemställan.</w:t>
        <w:br/>
        <w:br/>
      </w:r>
      <w:r>
        <w:rPr>
          <w:b/>
        </w:rPr>
        <w:t>Barnmorska³</w:t>
      </w:r>
      <w:r>
        <w:rPr>
          <w:b w:val="0"/>
        </w:rPr>
        <w:t>, som är i kommuns tjänst fast anställd, skall i årlig lön åtnjuta minst fyrahundra kronor samt därjämte förses med tjänlig bostad och nödigt bränsle eller ock erhålla ersättning därför med minst etthundra kronor.</w:t>
        <w:br/>
        <w:br/>
        <w:t>Avlöningen bestämmes av vederbörande kommun och skall utgöras efter enahanda grund, som för kommunalutskylder i allmänhet är eller kan varda föreskriven.</w:t>
        <w:br/>
        <w:br/>
        <w:t>Kunna kommuner, som äro förenade till ett barnmorskedistrikt, icke träffa överenskommelse om avlöningen, skall frågan avgöras av Konungens befallningshavande;</w:t>
      </w:r>
    </w:p>
    <w:p>
      <w:pPr>
        <w:pStyle w:val="Heading2"/>
      </w:pPr>
      <w:r>
        <w:t>2. Jacob Spens (Första kammarens nationella parti, man)</w:t>
      </w:r>
    </w:p>
    <w:p>
      <w:r>
        <w:rPr>
          <w:b w:val="0"/>
        </w:rPr>
        <w:t>I detta ärende har jag inom utskottet anmält min reservation och skall be att få angiva min ställning till frågan.</w:t>
        <w:br/>
        <w:br/>
        <w:t xml:space="preserve">Enligt nu gällande lag av år 1908 angående kommuns skyldighet i fråga om anställande av </w:t>
      </w:r>
      <w:r>
        <w:rPr>
          <w:b/>
        </w:rPr>
        <w:t>barnmorska³</w:t>
      </w:r>
      <w:r>
        <w:rPr>
          <w:b w:val="0"/>
        </w:rPr>
        <w:t xml:space="preserve"> skall </w:t>
      </w:r>
      <w:r>
        <w:rPr>
          <w:b/>
        </w:rPr>
        <w:t>barnmorska³</w:t>
      </w:r>
      <w:r>
        <w:rPr>
          <w:b w:val="0"/>
        </w:rPr>
        <w:t xml:space="preserve"> av kommunen åtnjuta i lön minst 300 kronor samt därjämte förses med fri bostad och fri vedbrand eller erhålla ersättning därför med 100 kronor. Vidare äger </w:t>
      </w:r>
      <w:r>
        <w:rPr>
          <w:b/>
        </w:rPr>
        <w:t>barnmorska³</w:t>
      </w:r>
      <w:r>
        <w:rPr>
          <w:b w:val="0"/>
        </w:rPr>
        <w:t xml:space="preserve"> vid varje förrättning erhålla ersättning enligt taxa, som fastställes av kommunen. ZLagutskottet har nu i anledning av motion i andra kammaren beslutit föreslå sådan ändring i lagen, att kommunerna skulle åläggas höja den kontanta lönen till barnmorskan från 300 till 400 kr., och utskottet har i motiven föreslagit, att ändringen skulle träda i kraft den 1 januari 1918, men icke intagit detta i själva lagen. Jag skall be att särskilt få nämna, att motionären tydligen avser, att lönen skulle höjas även för detta år. Därjämte har lagutskottet, i anledning därav att barnmorskeförbundet år 1914 hos Kungl. Maj:t begärt, att minimilönen skulle höjas till 500 kr. och att dessutom två ålderstillägg skulle beviljas barnmorskor — vilken framställning är under utredning i medicinalstyrelsen — föreslagit en skrivelse till Kungl. Maj:t med anhållan, att Kungl. Maj:t måtte till nästa riksdag framlägga förslag till lönereglering för barnmorskor. Utskottet har, såsom utskottet säger, tänkt sig, att den av utskottet tillstyrkta ändringen i lagen endast skulle gälla för ett år. För min del anser jag visserligen, att barnmorskorna äro i stort behov av förbättrade löneförmåner, men jag har ansett, att utskottet icke gått lämpligt tillväga för vinnande av detta ändamål, detta så mycket mer, som inom utskottet upplysts, att medicinalstyrelsen vore betänkt på att i anledning av barnmorskeförbundets framställning föreslå, att den kontanta minimilönen, 300 kr., som kommunerna skul-</w:t>
        <w:br/>
        <w:br/>
        <w:t xml:space="preserve">le betala, icke skulle höjas, utan att den lön, som däröver skulle erfordas, skulle lämnas dels av staten och dels av landstinget. Det är emellertid att märka, att det i lag bestämda avlöningsbeloppet 300 kronor endast är en minimiavlöning och att kommunerna på många håll betala vida större lön. Barnmorskorna lida naturligtvis av dyrtiden lika som andra, men förra hösten fästades uppmärksamheten, efter vad jag tror inom hela riket, på angelägenheten av att barnmorskelönen blir höjd. Detta skedde genom framställningar av förste provinsialläkarne, som intogos i länskungörelserna, och detta har också föranlett att, såsom även utskottet antyder, löneförhöjning på många håll ägt rum. Att riksdagen under sådana förhållanden och då utredning om lönereglering för barnmorskorna pågår, skall ålägga kommunerna ovillkorlig skyldighet att höja minimilönen från 300 kr. till 400 kr. för barnmorskorna, som äro att betrakta såsom ett slags kommunala tjänstemän, synes mig icke vara riktigt. Det kan också tänkas, att kommunerna hellre skulle vilja under denna övergångstid till den nya löneregleringen tillgodose barnmorskorna på annat sätt, t. ex. genom naturaförmåner, och man kan också tänka sig det fallet, att i mycket små kommuner, där barnmorskan har mycket litet antal förrättningar och t. ex. är gift och i god ekonomisk ställning, kommunen icke skulle behöva bevilja </w:t>
      </w:r>
      <w:r>
        <w:rPr>
          <w:b/>
        </w:rPr>
        <w:t>henne²</w:t>
      </w:r>
      <w:r>
        <w:rPr>
          <w:b w:val="0"/>
        </w:rPr>
        <w:t xml:space="preserve"> någon dyrtidsförhöjning i lönen på 100 kr. En sådan utgift kan spela en roll 1 mycket små kommuner.</w:t>
        <w:br/>
        <w:br/>
        <w:t>Emellertid föreligger en annan omständighet, som även är för mig bestämmande i denna fråga, och det är, att herr Hellberg i första kammaren i en till statsutskottet överlämnad motion hemställt, »att riksdagen måtte bevilja ett förslagsanslag på 150,000 kr., att förskottsvis utgå under innevarande år såsom dyrtidsunderstöd till de av kommunerna anställda barnmorskorna, förslagsvis 100 kr. till varje, under förutsättning att av respektive kommun eller enskilda lämnades ett minst hälften så stort bidrag till samma ändamål eller på annat sätt.&gt; Men denna motion hade lagutskottet icke kännedom om, då lagutskottet fattade sitt beslut. Över denna motion har emellertid medicinalstyrelsen avgivit yttrande och i dagarna överlämnat detsamma till statsutskottet, och däri har medicinalstyrelsen tillstyrkt motionen. Herr Hellberg avser visserligen understöd av statsmedel för i år, under det lagutskottet tydligen avser löneförhöjning från och med nästa år, men herr Byströms motion avser löneförhöjning redan för i år. Herr Hellberg antyder i sin motion, att statsunderstöd till barnmorskorna bör sökas även för nästa år, om icke lönereglering då framlägges, avseende jämväl 1918. Detta anser jag vara ett riktigt sätt att gå till väga, intill dess det blir ny lönereglering, nämligen att det blir kristidsanslag delvis av statsmedel och delvis av kommunala medel, såsom herr Hellberg föreslagit.</w:t>
        <w:br/>
        <w:br/>
        <w:t>Inom lagutskottet väcktes vid ärendets behandling fråga om att ärendet skulle behandlas i sammansatt statsoch lagutskott, men detta avslogs. Och det berodde antagligen på att lagutskottet icke då hade reda på herr Hellbergs motion, och att herr Byströms motion icke avsåg statsunderstöd. För övrigt var det då inom lagutskottet</w:t>
        <w:br/>
        <w:br/>
        <w:t>övervägande stämning för att lagutskottet skulle allenast besluta en skrivelse till Kungl. Maj:t om höjning i barnmorskeavlöningen, och det blev till och med provisoriskt beslut därom. |</w:t>
        <w:br/>
        <w:br/>
        <w:t>Som ärendet nu ligger, särskilt då herr Byströms motion avser löneförhöjning även i år och lagutskottet vid beslutets fattande icke hade kännedom om herr Hellbergs motion, anser jag den riktiga åtgärden vara att återremittera ärendet till lagutskottet för att tagas 1 förnyad behandling, antingen inom enbart lagutskott, sedan stabsutskottet och riksdagen beslutit i anledning av herr Hellbergs motion, eller ock i sammansatt statsoch lagutskott. Jag vill påpeka, att redan nu arbetas på två sammansatta utskott mellan lagutskottet och den avdelning av statsutskottet, som har herr Hellbergs motion. På den grund vore det även lämpligt, att också denna fråga hänvisades till sammansatt statsoch lagutskott. Enligt min mening kan barnmorskornas ställning komma att bliva sämre under nästa år, om lagutskottets betänkande nu skulle bifallas, ty då är det väl icke antagligt att, om de nu skulle få 100 kr. av kommunen, det skulle gå att genomdriva här inom riksdagen, att de dessutom skulle få statsunderstöd.</w:t>
        <w:br/>
        <w:br/>
        <w:t>På grund av vad jag anfört ber jag att få yrka återremiss till Tagutskottet av detta ärende.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268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