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1396</w:t>
      </w:r>
    </w:p>
    <w:p>
      <w:r>
        <w:rPr>
          <w:b/>
        </w:rPr>
        <w:t xml:space="preserve">Datum: </w:t>
      </w:r>
      <w:r>
        <w:t>1918-05-11</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Magnusson (Högerns riksdagsgrupp, man)</w:t>
      </w:r>
    </w:p>
    <w:p>
      <w:r>
        <w:rPr>
          <w:b w:val="0"/>
        </w:rPr>
        <w:t>Äntligen är den dag inne, då riksdagen går att besluta om en ny och modernare lag om fattigvården än den gamla av år 1871. Det måste givetvis glädja envar som ömmar för sina behövande medmänniskor, och det göra vi ju litet var, att få en lag som avhjälper de bristfälligheter vilka länge påtalats inom vårt fattigvårdsväsende. Men på samma gång jag säger detta, vill jag gärna erkänna, att fattigvården i allmänhet förbättrats ofantligt under de senaste årtiondena och att på många håll är den vård som redan nu lämnas helt enkelt utmärkt. Den nya lagen vill emellertid söka ordna det så, att fattigvården ingenstädes får lämnas under former som äro brutala och för den vårdbehövande sårande. I detta avseende tror jag, att lagen, omsatt i praktiken, skall visa sig väl fylla sin uppgift.</w:t>
        <w:br/>
        <w:br/>
        <w:t>Om jag således i det stora hela finner det föreliggande lagförslaget gott, har det enligt min mening i åtskilliga punkter skjutit över målet eller med andra ord pålagt fattigvårdssamhället bördor utan något egentligt gagn för de fattiga, och detta är enligt min mening just fallet med den föredragna paragrafen. I denna paragraf</w:t>
        <w:br/>
        <w:br/>
        <w:t xml:space="preserve">har nämligen utskottet i enlighet med Kungl. Maj:ts förslag satt minderårighetsgränsen till sexton år, under det att kommittén föreslagit, att denna ålder liksom nu skulle bestämmas till femton är. Denna höjning av åldersgränsen till sexton år tror jag icke vara till gagn för dem saken gäller, och den är ej heller nödvändig efter den avfattning paragrafen i övrigt fått. Saknar en femtonårig kropps- eller själskrafter för att genom arbete försörja sig, skall han, om han saknar egna medel, ha fattigvård, varhelst minderårighetsgränsen än må sättas. och för övrigt äger ju varje fattigvårdsstyrelse att, i de fall den prövar sådant nödigt, lämna fattigvårdsunderstöd enligt 2 $. Men att göra denna fattigvård obligatorisk, så att en frisk och stark yngling eller </w:t>
      </w:r>
      <w:r>
        <w:rPr>
          <w:b/>
        </w:rPr>
        <w:t>flicka²</w:t>
      </w:r>
      <w:r>
        <w:rPr>
          <w:b w:val="0"/>
        </w:rPr>
        <w:t xml:space="preserve"> blott och bart på den grund, att han eller </w:t>
      </w:r>
      <w:r>
        <w:rPr>
          <w:b/>
        </w:rPr>
        <w:t>hon²</w:t>
      </w:r>
      <w:r>
        <w:rPr>
          <w:b w:val="0"/>
        </w:rPr>
        <w:t xml:space="preserve"> icke fyllt sexton år, skall jämställas med sjuka och ålderdomssvaga och således med lagen i hand kunna tilltvinga sig fattigvårdsunderstöd, finner jag icke lämpligt.</w:t>
        <w:br/>
        <w:br/>
        <w:t>Jag skall därför, herr talman, be att få yrka. att minderårighetsgrängen i denna paragraf sättes till femton år.</w:t>
      </w:r>
    </w:p>
    <w:p>
      <w:pPr>
        <w:pStyle w:val="Heading2"/>
      </w:pPr>
      <w:r>
        <w:t>2. Wilhelm Källman (Socialdemokraterna, man)</w:t>
      </w:r>
    </w:p>
    <w:p>
      <w:r>
        <w:rPr>
          <w:b w:val="0"/>
        </w:rPr>
        <w:t>Herr talman! Jag skall icke bli mångordig. men det må tillåtas mig att ur den kungl. propositionen anföra ett par punkter till stöd för utskottets uppfattning om att minderårighetsgränsen bör sättas till sexton år. Jag tager det ur propositionen. därför att däri är så att säga koncentrerat bevisat behovet av en höjning av åldersgränsen. Departementschefen säger på sid. 67 1 propositionen bland annat:</w:t>
        <w:br/>
        <w:br/>
        <w:t xml:space="preserve">»Frågan bör emellertid icke bedömas allenast med hänsyn till. vid vilken ålder ynglingar och </w:t>
      </w:r>
      <w:r>
        <w:rPr>
          <w:b/>
        </w:rPr>
        <w:t>flickor²</w:t>
      </w:r>
      <w:r>
        <w:rPr>
          <w:b w:val="0"/>
        </w:rPr>
        <w:t xml:space="preserve"> kunna, i allmänhet taget, anses vara i stånd att nätt och jämnt förtjäna sitt uppehälle. Utan man bör i de ungas såväl som i samhällets befogade intresse söka avgöra, när de i allmänhet hunnit sådan mognad, att de, överlämnade åt sig själva, hava utsikt att utvecklas till så goda självförsörjare och nyttiga medborgare — låt vara i blygsamma villkor — som de, med de anlag och egenskaper i övrigt, vilka stå dem till buds, hava möjlighet till.»</w:t>
        <w:br/>
        <w:br/>
        <w:t>Då reservanten som stöd för sin uppfattning anför tillkomsten under förlidet år av lagen om barn utom äktenskapet, så må det tilllåtas mig att erinra om allenast en enda punkt av vad departementschefen säger därom i propositionen.</w:t>
        <w:br/>
        <w:br/>
        <w:t>»Gentemot en höjning av ifrågavarande åldersgräns över 15 år kan tänkas komma att åberopas, att i den nya lagen om barn utom äktenskap gränsen för försörjningsskyldigheten i normala fall lagts vid 15 år. Till en början må då bemärkas, att meningarna angående lämpligheten av denna gräns vid berörda lags tillkomst inga- Junda voro odelade. Så fastställde andra kammaren för sin del till en början gränsen till 16 år, ehuru kammaren efter sammanjämkning nödgades i denna del biträda första kammarens beslut, varigenom gränsen bestämts till 15 år. Men vidare kan enligt lagen försörjningsskyldigheten sträcka sig till 18 år och, 'om barnets anlag</w:t>
        <w:br/>
        <w:br/>
        <w:t>och omständigheterna i övrigt föranleda, att barnet bör erhålla fortsatt utbildning”, till och med längre än till 18 år.»</w:t>
        <w:br/>
        <w:br/>
        <w:t>Jag vill för min del till detta endast lägga, att då herr Magnusson i sin reservation framhåller som en olägenhet. att samhället icke kan undandraga sig att ge barnen undervisning i t. ex. fortsättningsskolor, så frågar jag mig, varpå egentligen reservanten härvidlag stöder sig. Bör icke de fattiga barnen likaväl som vilket annat barn som helst, under förutsättning att anlag finnas, erhålla fortsatt utbildning, och bör icke ett sådant barn. sedan vi fått de praktiska ungdomsskolorna, också få tillfälle att genomgå dessa.</w:t>
        <w:br/>
        <w:br/>
        <w:t>Då, såvitt jag kan förstå, alla starka skäl här äro på utskottets i så ber jag att utan vidare få yrka bifall till utskottets hemställan.</w:t>
        <w:br/>
        <w:br/>
        <w:t>Föräldrar äro pliktiga att utan fattigvårdssamhälles betungande försörja sina minderåriga barn. Enahanda försörjningsplikt åligger man gentemot bustrun. ;</w:t>
        <w:br/>
        <w:br/>
        <w:t xml:space="preserve">I övrigt åligger det föräldrar och barn att i mån av behov, å ena, samt förmåga, å andra sidan, försörja varandra, så att de ej falla fattigvården till last. Försörjningsplikt, som här sägs, åligger ock </w:t>
      </w:r>
      <w:r>
        <w:rPr>
          <w:b/>
        </w:rPr>
        <w:t>hustru²</w:t>
      </w:r>
      <w:r>
        <w:rPr>
          <w:b w:val="0"/>
        </w:rPr>
        <w:t xml:space="preserve"> gentemot mannen.</w:t>
        <w:br/>
        <w:br/>
        <w:t>Adoptant och adoptivbarn hava samma skyldighet att utan fattigvårdssamhälles betungande försörja varandra, som, enligt vad i denna paragraf sägs, åligger föräldrar och barn. Adoptivbarnets föräldrar äro i förhållande till det allmänna ej skyldiga att fullgöra försörjningen, där ej adoptanten blir ur stånd därtill.</w:t>
      </w:r>
    </w:p>
    <w:p>
      <w:pPr>
        <w:pStyle w:val="Heading2"/>
      </w:pPr>
      <w:r>
        <w:t>3. Karl Johan Karlsson (Socialdemokratiska vänstergruppen, man)</w:t>
      </w:r>
    </w:p>
    <w:p>
      <w:r>
        <w:rPr>
          <w:b w:val="0"/>
        </w:rPr>
        <w:t>Herr talman! Endast några få ord.</w:t>
        <w:br/>
        <w:br/>
        <w:t xml:space="preserve">I denna paragraf har införts något nytt, som icke finnes i den förutvarande lagstiftningen på området, och det är </w:t>
      </w:r>
      <w:r>
        <w:rPr>
          <w:b/>
        </w:rPr>
        <w:t>hustruns²</w:t>
      </w:r>
      <w:r>
        <w:rPr>
          <w:b w:val="0"/>
        </w:rPr>
        <w:t xml:space="preserve"> försörjningsplikt gentemot mannen. Utskottet har motiverat detta med den civilrättsliga försörjningsplikt som åligger </w:t>
      </w:r>
      <w:r>
        <w:rPr>
          <w:b/>
        </w:rPr>
        <w:t>hustrun²</w:t>
      </w:r>
      <w:r>
        <w:rPr>
          <w:b w:val="0"/>
        </w:rPr>
        <w:t xml:space="preserve"> gentemot mannen och mannen gentemot </w:t>
      </w:r>
      <w:r>
        <w:rPr>
          <w:b/>
        </w:rPr>
        <w:t>hustrun²</w:t>
      </w:r>
      <w:r>
        <w:rPr>
          <w:b w:val="0"/>
        </w:rPr>
        <w:t xml:space="preserve">. Utskottet har godkänt paragrafen, såsom Kungl. Maj:t föreslagit densamma, med hänsyn till vissa omständigheter, som framkommit i utskottet, och det var. att vid vissa tillfällen </w:t>
      </w:r>
      <w:r>
        <w:rPr>
          <w:b/>
        </w:rPr>
        <w:t>hustrun²</w:t>
      </w:r>
      <w:r>
        <w:rPr>
          <w:b w:val="0"/>
        </w:rPr>
        <w:t xml:space="preserve"> uraktlåtit att, trots att </w:t>
      </w:r>
      <w:r>
        <w:rPr>
          <w:b/>
        </w:rPr>
        <w:t>hon²</w:t>
      </w:r>
      <w:r>
        <w:rPr>
          <w:b w:val="0"/>
        </w:rPr>
        <w:t xml:space="preserve"> hade förmögenhet, försörja sin man, och detta ansåg man borde stävjas. Om man ser på den lagparagraf som här åsyftas angående den civilrättsliga försörjningsplikt som åligga makarna gentemot varandra, så skall man finna, att enligt 6 kap. 21 8 nya giftermålsbalken åligger försörjningsplikt i händelse av hemskillnad endast den make som är orsak till hemskillnaden. Där är alltså vissa undantag gjorda för försörjningsplikten, men i fattigvårdslagen, som nu är framlagd, finnes icke något undantag, utan i mån av sin förmåga skall </w:t>
      </w:r>
      <w:r>
        <w:rPr>
          <w:b/>
        </w:rPr>
        <w:t>hustrun²</w:t>
      </w:r>
      <w:r>
        <w:rPr>
          <w:b w:val="0"/>
        </w:rPr>
        <w:t xml:space="preserve"> bidraga till mannens försörjning. Utskottet säger också, att det lär i sådana fall icke gärna förekomma, att några anspråk ställas på </w:t>
      </w:r>
      <w:r>
        <w:rPr>
          <w:b/>
        </w:rPr>
        <w:t>hustrun²</w:t>
      </w:r>
      <w:r>
        <w:rPr>
          <w:b w:val="0"/>
        </w:rPr>
        <w:t xml:space="preserve">. Om detta hade stått uttryckligen utsagt, att det icke får förekomma i sådana fall, därest icke viss större förmögenhet förefinnes, hade man givetvis kunnat acceptera lagen, som den nu föreligger. Men nu kan det tänkas, att en </w:t>
      </w:r>
      <w:r>
        <w:rPr>
          <w:b/>
        </w:rPr>
        <w:t>hustru²</w:t>
      </w:r>
      <w:r>
        <w:rPr>
          <w:b w:val="0"/>
        </w:rPr>
        <w:t xml:space="preserve">, som verkligen strävar att hålla hemmet uppe och kan försörja sina barn, medan mannen uraktlåter att försörja sin </w:t>
      </w:r>
      <w:r>
        <w:rPr>
          <w:b/>
        </w:rPr>
        <w:t>hustru²</w:t>
      </w:r>
      <w:r>
        <w:rPr>
          <w:b w:val="0"/>
        </w:rPr>
        <w:t>, kan av en hård fattigvårdsstyrelse åläggas att även försörja mannen.</w:t>
        <w:br/>
        <w:br/>
        <w:t xml:space="preserve">Jag ser icke någon rättvisa häri, varför jag med dessa korta ord. herr talman, ber att få yrka avslag på andra styckets sista mening, där det står: »Försörjningsplikt, som här sägs, åligger ock </w:t>
      </w:r>
      <w:r>
        <w:rPr>
          <w:b/>
        </w:rPr>
        <w:t>hustru²</w:t>
      </w:r>
      <w:r>
        <w:rPr>
          <w:b w:val="0"/>
        </w:rPr>
        <w:t xml:space="preserve"> gentemot mannen», men att paragrafen i övrigt godkännes.</w:t>
      </w:r>
    </w:p>
    <w:p>
      <w:pPr>
        <w:pStyle w:val="Heading2"/>
      </w:pPr>
      <w:r>
        <w:t>4. unknown (–, –)</w:t>
      </w:r>
    </w:p>
    <w:p>
      <w:r>
        <w:rPr>
          <w:b w:val="0"/>
        </w:rPr>
        <w:t xml:space="preserve">anmärkte, är det endast i undantagsfall, som det kan bli fråga om att </w:t>
      </w:r>
      <w:r>
        <w:rPr>
          <w:b/>
        </w:rPr>
        <w:t>hustru²</w:t>
      </w:r>
      <w:r>
        <w:rPr>
          <w:b w:val="0"/>
        </w:rPr>
        <w:t xml:space="preserve"> kan åläggas försörjningsplikt gentemot mannen, nämligen</w:t>
        <w:br/>
        <w:br/>
        <w:t xml:space="preserve">endast i det fall, att </w:t>
      </w:r>
      <w:r>
        <w:rPr>
          <w:b/>
        </w:rPr>
        <w:t>hon²</w:t>
      </w:r>
      <w:r>
        <w:rPr>
          <w:b w:val="0"/>
        </w:rPr>
        <w:t xml:space="preserve"> äger förmåga att försörja honom. Är det ett sådant fall, som talaren själv nämnde, att </w:t>
      </w:r>
      <w:r>
        <w:rPr>
          <w:b/>
        </w:rPr>
        <w:t>hon²</w:t>
      </w:r>
      <w:r>
        <w:rPr>
          <w:b w:val="0"/>
        </w:rPr>
        <w:t xml:space="preserve"> kan taga s'g fram med sig och sina barn men har en man, som </w:t>
      </w:r>
      <w:r>
        <w:rPr>
          <w:b/>
        </w:rPr>
        <w:t>hon²</w:t>
      </w:r>
      <w:r>
        <w:rPr>
          <w:b w:val="0"/>
        </w:rPr>
        <w:t xml:space="preserve"> icke på något sätt kan orka med att försörja, blir </w:t>
      </w:r>
      <w:r>
        <w:rPr>
          <w:b/>
        </w:rPr>
        <w:t>hon²</w:t>
      </w:r>
      <w:r>
        <w:rPr>
          <w:b w:val="0"/>
        </w:rPr>
        <w:t xml:space="preserve"> icke ålagd att göra det, men om man däremot tager ett sådant fall, att det är en förmögen </w:t>
      </w:r>
      <w:r>
        <w:rPr>
          <w:b/>
        </w:rPr>
        <w:t>hustru²</w:t>
      </w:r>
      <w:r>
        <w:rPr>
          <w:b w:val="0"/>
        </w:rPr>
        <w:t xml:space="preserve">, som mycket väl kan försörja sin man och mer till. och </w:t>
      </w:r>
      <w:r>
        <w:rPr>
          <w:b/>
        </w:rPr>
        <w:t>hon²</w:t>
      </w:r>
      <w:r>
        <w:rPr>
          <w:b w:val="0"/>
        </w:rPr>
        <w:t xml:space="preserve"> då skulle kunna låta honom försörjas av fattigvårdssamhället och icke behöva bidraga med ett öre till hans underhåll, det kan väl icke vara riktigt. Det här är icke en obligatorisk, icke en ovillkorlig skyldighet för </w:t>
      </w:r>
      <w:r>
        <w:rPr>
          <w:b/>
        </w:rPr>
        <w:t>hustrun²</w:t>
      </w:r>
      <w:r>
        <w:rPr>
          <w:b w:val="0"/>
        </w:rPr>
        <w:t xml:space="preserve"> utan gäller endast i de fall, då </w:t>
      </w:r>
      <w:r>
        <w:rPr>
          <w:b/>
        </w:rPr>
        <w:t>hon²</w:t>
      </w:r>
      <w:r>
        <w:rPr>
          <w:b w:val="0"/>
        </w:rPr>
        <w:t xml:space="preserve"> har förmåga att försörja man4 nen. Att man då ålägger </w:t>
      </w:r>
      <w:r>
        <w:rPr>
          <w:b/>
        </w:rPr>
        <w:t>henne²</w:t>
      </w:r>
      <w:r>
        <w:rPr>
          <w:b w:val="0"/>
        </w:rPr>
        <w:t xml:space="preserve"> att göra det, synes mig vara fullkomligt i sin ordning. Herr talman, jag yrkar bifall till paragrafen.</w:t>
      </w:r>
    </w:p>
    <w:p>
      <w:pPr>
        <w:pStyle w:val="Heading2"/>
      </w:pPr>
      <w:r>
        <w:t>5. Ulrik Leander (Frisinnade folkpartiet, man)</w:t>
      </w:r>
    </w:p>
    <w:p>
      <w:r>
        <w:rPr>
          <w:b w:val="0"/>
        </w:rPr>
        <w:t xml:space="preserve">Såsom synes av betänkandet har jag också väckt en motion med ungefär samma yrkande som herr Karlsson i Sandviken. Jag har även inom utskottet hemställt om, att utskottet skulle gå med på att </w:t>
      </w:r>
      <w:r>
        <w:rPr>
          <w:b/>
        </w:rPr>
        <w:t>hustrun²</w:t>
      </w:r>
      <w:r>
        <w:rPr>
          <w:b w:val="0"/>
        </w:rPr>
        <w:t xml:space="preserve"> skulle befrias från försörjningsplikt för det fall, att mannen uppenbarligen icke efter förmåga söker ärligen försörja sig eller är hemfallen åt dryckenskap. Jag har likväl icke reserverat mig på denna punkt, emedan det har blivit nog med reservationer i alla fall, men jag finner i likhet med herr Karlsson i Sandviken, att det är ganska hårt, om en </w:t>
      </w:r>
      <w:r>
        <w:rPr>
          <w:b/>
        </w:rPr>
        <w:t>hustru²</w:t>
      </w:r>
      <w:r>
        <w:rPr>
          <w:b w:val="0"/>
        </w:rPr>
        <w:t xml:space="preserve">, som söker göra allt vad </w:t>
      </w:r>
      <w:r>
        <w:rPr>
          <w:b/>
        </w:rPr>
        <w:t>hon²</w:t>
      </w:r>
      <w:r>
        <w:rPr>
          <w:b w:val="0"/>
        </w:rPr>
        <w:t xml:space="preserve"> kan för att försörja sig och barnen och hålla hemmet uppe, därtill också skall nödgas försörja en supig, lättjefull man. Nu säger utskottet, att det förekommer icke i sådana fall, att man kräver försörjningsplikt av </w:t>
      </w:r>
      <w:r>
        <w:rPr>
          <w:b/>
        </w:rPr>
        <w:t>hustrun²</w:t>
      </w:r>
      <w:r>
        <w:rPr>
          <w:b w:val="0"/>
        </w:rPr>
        <w:t xml:space="preserve">. Ja, den som blott kunde vara säker på den saken. Herr Magnusson i Tumhult ville göra gällande, att en pojke eller </w:t>
      </w:r>
      <w:r>
        <w:rPr>
          <w:b/>
        </w:rPr>
        <w:t>flicka²</w:t>
      </w:r>
      <w:r>
        <w:rPr>
          <w:b w:val="0"/>
        </w:rPr>
        <w:t xml:space="preserve">, som ännu icke fyllt sexton år, kan med lagen i sin hand komma till fattigvårdsstyrelsen och fordra försörjning. Jag tror icke, att det är många pojkar eller </w:t>
      </w:r>
      <w:r>
        <w:rPr>
          <w:b/>
        </w:rPr>
        <w:t>flickor²</w:t>
      </w:r>
      <w:r>
        <w:rPr>
          <w:b w:val="0"/>
        </w:rPr>
        <w:t>, som handla på det sättet, men då skulle man också kunna säga, att en hård och ogin fattigvårdsstyrelse skulle kunna med lagen i hand söka utkräva den yttersta skärven av en sådan stackars bustru.</w:t>
        <w:br/>
        <w:br/>
        <w:t>Jag har nu intet yrkande, men jag har naturligtvis ingenting emot, om kammaren ville bifalla herr Karlssons i Sandviken förslag.</w:t>
      </w:r>
    </w:p>
    <w:p>
      <w:pPr>
        <w:pStyle w:val="Heading2"/>
      </w:pPr>
      <w:r>
        <w:t>6. unknown (–, –)</w:t>
      </w:r>
    </w:p>
    <w:p>
      <w:r>
        <w:rPr>
          <w:b w:val="0"/>
        </w:rPr>
        <w:t xml:space="preserve">Jag vill endast nämna. att jag har de allra största sympatier för de av herrar Leander och Karlsson i Sandviken väckta motionerna, men med hänsyn till alla de möjligheter, som finnas för en familj, som icke känner något ansvar inför kommunen, att skriva förmögenheten på </w:t>
      </w:r>
      <w:r>
        <w:rPr>
          <w:b/>
        </w:rPr>
        <w:t>hustrun²</w:t>
      </w:r>
      <w:r>
        <w:rPr>
          <w:b w:val="0"/>
        </w:rPr>
        <w:t xml:space="preserve"> och så kasta t. ex. en alkoholiserad man över på fattigvården, har jag ansett, att man bör avstå från att göra annat yrkande än om bifall till vad utskottet här hemställt om. Jag är alldeles övertygad om att i alla de fall, där det är fråga om oordentliga män med fattiga familjer, det icke gärna kan tänkas, att någon fattigvårdsstyrelse återkräver ersättning av</w:t>
        <w:br/>
        <w:br/>
      </w:r>
      <w:r>
        <w:rPr>
          <w:b/>
        </w:rPr>
        <w:t>hustrun²</w:t>
      </w:r>
      <w:r>
        <w:rPr>
          <w:b w:val="0"/>
        </w:rPr>
        <w:t xml:space="preserve">, men med hänsyn till de utan tvivel många fall, där man kan krångla bort mannens förmögehet på </w:t>
      </w:r>
      <w:r>
        <w:rPr>
          <w:b/>
        </w:rPr>
        <w:t>hustrun²</w:t>
      </w:r>
      <w:r>
        <w:rPr>
          <w:b w:val="0"/>
        </w:rPr>
        <w:t xml:space="preserve"> och mannen sedan faller fattigvårdssamhället till last, yrkar jag bifall till utskottets hemställan.</w:t>
        <w:br/>
        <w:br/>
        <w:t>Utskottets förslag skilde sig från Kungl. Maj:ts endast däruti, att det i I och 2 mom. förekommande ordet »skall» utbytts mot ordet »bör».</w:t>
      </w:r>
    </w:p>
    <w:p>
      <w:pPr>
        <w:pStyle w:val="Heading2"/>
      </w:pPr>
      <w:r>
        <w:t>7. Ulrik Leander (Frisinnade folkpartiet, man)</w:t>
      </w:r>
    </w:p>
    <w:p>
      <w:r>
        <w:rPr>
          <w:b w:val="0"/>
        </w:rPr>
        <w:t xml:space="preserve">Det yttrades under </w:t>
      </w:r>
      <w:r>
        <w:rPr>
          <w:b/>
        </w:rPr>
        <w:t>kvinnorösträttsdebatten¹</w:t>
      </w:r>
      <w:r>
        <w:rPr>
          <w:b w:val="0"/>
        </w:rPr>
        <w:br/>
        <w:br/>
        <w:t xml:space="preserve">för någon tid sedan, att det såg ut, som om vissa riksdagsmän vore rädda för </w:t>
      </w:r>
      <w:r>
        <w:rPr>
          <w:b/>
        </w:rPr>
        <w:t>kvinnorna¹</w:t>
      </w:r>
      <w:r>
        <w:rPr>
          <w:b w:val="0"/>
        </w:rPr>
        <w:t xml:space="preserve">. Det förnekades visserligen då, men man vet sannerligen icke vad man skall tro, ty nu tycks man hysa fruktan för att släppa in dem i fattigvårdsstyrelsen. Man skall naturligtvis nu komma med den invändningen, att det står öppet att invälja </w:t>
      </w:r>
      <w:r>
        <w:rPr>
          <w:b/>
        </w:rPr>
        <w:t>kvinnor¹</w:t>
      </w:r>
      <w:r>
        <w:rPr>
          <w:b w:val="0"/>
        </w:rPr>
        <w:t xml:space="preserve"> i fattigvårdsstyrelsen. Ja, den rätten hava </w:t>
      </w:r>
      <w:r>
        <w:rPr>
          <w:b/>
        </w:rPr>
        <w:t>kvinnorna¹</w:t>
      </w:r>
      <w:r>
        <w:rPr>
          <w:b w:val="0"/>
        </w:rPr>
        <w:t xml:space="preserve"> haft ganska länge. men utskottet nödgas konstatera, att i allt fall icke många </w:t>
      </w:r>
      <w:r>
        <w:rPr>
          <w:b/>
        </w:rPr>
        <w:t>kvinnor¹</w:t>
      </w:r>
      <w:r>
        <w:rPr>
          <w:b w:val="0"/>
        </w:rPr>
        <w:t xml:space="preserve"> blivit invalda i fattigvårdsstyrelsen, och blir det nu icke obligatoriskt, komma de nog fortfarande att få stanna utanför. Man erkänner ju, att </w:t>
      </w:r>
      <w:r>
        <w:rPr>
          <w:b/>
        </w:rPr>
        <w:t>kvinnan¹</w:t>
      </w:r>
      <w:r>
        <w:rPr>
          <w:b w:val="0"/>
        </w:rPr>
        <w:t xml:space="preserve"> så väl behövs och att </w:t>
      </w:r>
      <w:r>
        <w:rPr>
          <w:b/>
        </w:rPr>
        <w:t>hon²</w:t>
      </w:r>
      <w:r>
        <w:rPr>
          <w:b w:val="0"/>
        </w:rPr>
        <w:t xml:space="preserve"> lämpar sig där, men i alla fall vill man draga försorg om att </w:t>
      </w:r>
      <w:r>
        <w:rPr>
          <w:b/>
        </w:rPr>
        <w:t>hon²</w:t>
      </w:r>
      <w:r>
        <w:rPr>
          <w:b w:val="0"/>
        </w:rPr>
        <w:t xml:space="preserve"> ändå icke skall komma med. ty man vet mycket väl, att ifall det icke blir en obligatorisk ovillkorlig plikt, att </w:t>
      </w:r>
      <w:r>
        <w:rPr>
          <w:b/>
        </w:rPr>
        <w:t>hon²</w:t>
      </w:r>
      <w:r>
        <w:rPr>
          <w:b w:val="0"/>
        </w:rPr>
        <w:t xml:space="preserve"> skall sitta i fattigvårdsstyrelsen, kommer </w:t>
      </w:r>
      <w:r>
        <w:rPr>
          <w:b/>
        </w:rPr>
        <w:t>hon²</w:t>
      </w:r>
      <w:r>
        <w:rPr>
          <w:b w:val="0"/>
        </w:rPr>
        <w:t xml:space="preserve"> icke dit, emedan man på många håll hyser motvilja mot att överlämna offentliga uppdrag åt </w:t>
      </w:r>
      <w:r>
        <w:rPr>
          <w:b/>
        </w:rPr>
        <w:t>kvinnorna¹</w:t>
      </w:r>
      <w:r>
        <w:rPr>
          <w:b w:val="0"/>
        </w:rPr>
        <w:t>.</w:t>
        <w:br/>
        <w:br/>
        <w:t xml:space="preserve">Nu har ju utskottet invänt, och det har man också hört här i kammaren, att det kan finnas kommuner, där det icke finnes någon lämplig </w:t>
      </w:r>
      <w:r>
        <w:rPr>
          <w:b/>
        </w:rPr>
        <w:t>kvinna¹</w:t>
      </w:r>
      <w:r>
        <w:rPr>
          <w:b w:val="0"/>
        </w:rPr>
        <w:t xml:space="preserve"> att invälja, och att det då vore orimligt, att det skulle vara en ofrånkomlig plikt att hava en sådan där. Men det vore väl märkvärdigt. om det skulle finnas en enda kommun i hela Sveriges land, där det icke finnes en för dessa uppdrag lämplig </w:t>
      </w:r>
      <w:r>
        <w:rPr>
          <w:b/>
        </w:rPr>
        <w:t>kvinna¹</w:t>
      </w:r>
      <w:r>
        <w:rPr>
          <w:b w:val="0"/>
        </w:rPr>
        <w:t xml:space="preserve">. Skulle verkligen så vara förhållandet, tror jag, att det icke heller finnes tillräckligt anta! lämpliga män, ty män och </w:t>
      </w:r>
      <w:r>
        <w:rPr>
          <w:b/>
        </w:rPr>
        <w:t>kvinnor¹</w:t>
      </w:r>
      <w:r>
        <w:rPr>
          <w:b w:val="0"/>
        </w:rPr>
        <w:t xml:space="preserve"> stå väl i allmänhet på samma nivå ifråga om intelligens, och därvidlag finnes icke någon större skillnad på dem. Jag tror således bestämt, att man skall kunna uppleta en sådan </w:t>
      </w:r>
      <w:r>
        <w:rPr>
          <w:b/>
        </w:rPr>
        <w:t>kvinna¹</w:t>
      </w:r>
      <w:r>
        <w:rPr>
          <w:b w:val="0"/>
        </w:rPr>
        <w:t xml:space="preserve"> i var och en av Sveriges kommuner.</w:t>
        <w:br/>
        <w:br/>
        <w:t xml:space="preserve">Nu har man också sagt. att </w:t>
      </w:r>
      <w:r>
        <w:rPr>
          <w:b/>
        </w:rPr>
        <w:t>kvinnorna¹</w:t>
      </w:r>
      <w:r>
        <w:rPr>
          <w:b w:val="0"/>
        </w:rPr>
        <w:t xml:space="preserve"> icke gärna vilja mottaga sådana uppdrag. Men i fall det kommer att stå i lagen, att minst en </w:t>
      </w:r>
      <w:r>
        <w:rPr>
          <w:b/>
        </w:rPr>
        <w:t>kvinna¹</w:t>
      </w:r>
      <w:r>
        <w:rPr>
          <w:b w:val="0"/>
        </w:rPr>
        <w:t xml:space="preserve"> skall tillhöra fattigvårdsstyrelsen, kunna de ju sedan icke undandraga sig, utan då kan man ju också här med lagen i hand påpeka för dem. att de äro tvungna därtill.</w:t>
        <w:br/>
        <w:br/>
        <w:t xml:space="preserve">Det är siäkerligen en avgjord fördel, om </w:t>
      </w:r>
      <w:r>
        <w:rPr>
          <w:b/>
        </w:rPr>
        <w:t>kvinnorna¹</w:t>
      </w:r>
      <w:r>
        <w:rPr>
          <w:b w:val="0"/>
        </w:rPr>
        <w:t xml:space="preserve"> nu få vara med i fattigvårdsstyrelserna, och det är i många fall behövligt, ja rent av nödvändigt. Där förekomma ju sedlighetsfrågor, frågor om barnavård och barns uppfostran o. s. v. — frågor, som männen icke riktigt förstå sig på. Därför ber jag, herr talman, att få yrka bifall till Kungl. Maj:ts förslag i överensstämmelse med den reservation. som är avgiven av herr Källman m. fl.</w:t>
      </w:r>
    </w:p>
    <w:p>
      <w:pPr>
        <w:pStyle w:val="Heading2"/>
      </w:pPr>
      <w:r>
        <w:t>8. Carl Hederstierna (Lantmanna- och borgarepartiet inom andrakammaren, man)</w:t>
      </w:r>
    </w:p>
    <w:p>
      <w:r>
        <w:rPr>
          <w:b w:val="0"/>
        </w:rPr>
        <w:t xml:space="preserve">Ja, herr talman, herr Leander tycktes mena, att utskottsmajoriteten skulle vara besjälad av någon slags rädsla för att få in </w:t>
      </w:r>
      <w:r>
        <w:rPr>
          <w:b/>
        </w:rPr>
        <w:t>kvinnorna¹</w:t>
      </w:r>
      <w:r>
        <w:rPr>
          <w:b w:val="0"/>
        </w:rPr>
        <w:t xml:space="preserve"> i fattigvårdsstyrelserna. Hade så varit förhållandet. hade vi väl icke valt ett uttryck, som innehåller en uppmaning till fattigvårdsstyrelserna att invälja </w:t>
      </w:r>
      <w:r>
        <w:rPr>
          <w:b/>
        </w:rPr>
        <w:t>kvinnor¹</w:t>
      </w:r>
      <w:r>
        <w:rPr>
          <w:b w:val="0"/>
        </w:rPr>
        <w:t xml:space="preserve">. Han trodde vidare, att han inom varje kommun skulle kunna uppleta en </w:t>
      </w:r>
      <w:r>
        <w:rPr>
          <w:b/>
        </w:rPr>
        <w:t>kvinna¹</w:t>
      </w:r>
      <w:r>
        <w:rPr>
          <w:b w:val="0"/>
        </w:rPr>
        <w:t xml:space="preserve">. som vore lämplig att komma in i fattigvårdsstyrelsen. Men an kunna ju icke kommunerna alltid vara i tillfälle att anlita herr Teanders förmåga att uppleta sådana </w:t>
      </w:r>
      <w:r>
        <w:rPr>
          <w:b/>
        </w:rPr>
        <w:t>kvinnor¹</w:t>
      </w:r>
      <w:r>
        <w:rPr>
          <w:b w:val="0"/>
        </w:rPr>
        <w:t>. och vi, som tillhöra</w:t>
        <w:br/>
        <w:br/>
        <w:t xml:space="preserve">utskottsmajoriteten, äro litet rädda för att det icke blir så lätt för en kommun att få tag i en </w:t>
      </w:r>
      <w:r>
        <w:rPr>
          <w:b/>
        </w:rPr>
        <w:t>kvinna¹</w:t>
      </w:r>
      <w:r>
        <w:rPr>
          <w:b w:val="0"/>
        </w:rPr>
        <w:t xml:space="preserve">, som är lämplig att ägna sig åt fattigvården. </w:t>
      </w:r>
      <w:r>
        <w:rPr>
          <w:b/>
        </w:rPr>
        <w:t>Kvinnorna¹</w:t>
      </w:r>
      <w:r>
        <w:rPr>
          <w:b w:val="0"/>
        </w:rPr>
        <w:t xml:space="preserve"> på landsbygden hava i regel sin sysselsättning och gå upp i sitt arbete. Att det alltid skulle vara möjligt, att få sådana </w:t>
      </w:r>
      <w:r>
        <w:rPr>
          <w:b/>
        </w:rPr>
        <w:t>kvinnor¹</w:t>
      </w:r>
      <w:r>
        <w:rPr>
          <w:b w:val="0"/>
        </w:rPr>
        <w:t xml:space="preserve">, som verkligen hava tid och lust att inom de olika fattigvårdssamhällena ägna sig åt fattigvårdsarbetet, hava vi icke vågat lita på. Och då kan man befara, att, om det är obligatoriskt, fattigvårdssamhällena nödgas taga in </w:t>
      </w:r>
      <w:r>
        <w:rPr>
          <w:b/>
        </w:rPr>
        <w:t>kvinnor¹</w:t>
      </w:r>
      <w:r>
        <w:rPr>
          <w:b w:val="0"/>
        </w:rPr>
        <w:t>, som icke äro lämpliga. Då är det bättre, att samhället äger rätt att i sådana fall taga en man, som är van att handlägga allmänna angelägenheter och är intresserad av sådant. Jag tror därför, att det är försiktigare och mera praktiskt lämpligt att ersätta ordet »skall» med »bör». I enlighet med detta mitt yttrande får jag hemställa om bifall till utskottets förslag.</w:t>
      </w:r>
    </w:p>
    <w:p>
      <w:pPr>
        <w:pStyle w:val="Heading2"/>
      </w:pPr>
      <w:r>
        <w:t>9. Axel Schotte (Liberala samlingspartiet, man)</w:t>
      </w:r>
    </w:p>
    <w:p>
      <w:r>
        <w:rPr>
          <w:b w:val="0"/>
        </w:rPr>
        <w:t xml:space="preserve">Herr talman! Jag skulle vilja säga ett par ord, ehuru det kanske i själva verket icke är behövligt. För min del tror jag, att det är klokt att i förekommande $ bibehålla det omtvistade ordet »skall» och icke övergå till det av utskottet föreslagna ordet »bör». Det är ju nämligen så, att endast med ett obligatoriskt deltagande från </w:t>
      </w:r>
      <w:r>
        <w:rPr>
          <w:b/>
        </w:rPr>
        <w:t>kvinnornas¹</w:t>
      </w:r>
      <w:r>
        <w:rPr>
          <w:b w:val="0"/>
        </w:rPr>
        <w:t xml:space="preserve"> sida bliva förhållandena tillfredsställande. Det är synnerligen viktiga uppgifter, närliggande för </w:t>
      </w:r>
      <w:r>
        <w:rPr>
          <w:b/>
        </w:rPr>
        <w:t>kvinnans¹</w:t>
      </w:r>
      <w:r>
        <w:rPr>
          <w:b w:val="0"/>
        </w:rPr>
        <w:t xml:space="preserve"> hela verksamhet, som fattigvårdsstyrelserna hava sig anförtrodda. Det är ju också av en reservant i kommittén framhållet, att av fattigvårdens skyddslingar voro år 1917 27,000 direkt understödda och 51,000 s. k. tillhörande barn och av de vuxna understödstagarna voro 98,000 </w:t>
      </w:r>
      <w:r>
        <w:rPr>
          <w:b/>
        </w:rPr>
        <w:t>kvinnor¹</w:t>
      </w:r>
      <w:r>
        <w:rPr>
          <w:b w:val="0"/>
        </w:rPr>
        <w:t xml:space="preserve"> och endast 50,000 män. Många korporationer, som varit hörda över förslaget. bland annat domkapitlet i Lund, hava också ansett det riktigt och nödvändigt, att det blir en skyldighet för fattigvårdsstyrelse att ibland sig inrymma även en </w:t>
      </w:r>
      <w:r>
        <w:rPr>
          <w:b/>
        </w:rPr>
        <w:t>kvinna¹</w:t>
      </w:r>
      <w:r>
        <w:rPr>
          <w:b w:val="0"/>
        </w:rPr>
        <w:t xml:space="preserve">. Jag för min del tror, att förhållandena äro sådana, att det överallt i vårt land skall finnas lämpliga och villiga </w:t>
      </w:r>
      <w:r>
        <w:rPr>
          <w:b/>
        </w:rPr>
        <w:t>kvinnor¹</w:t>
      </w:r>
      <w:r>
        <w:rPr>
          <w:b w:val="0"/>
        </w:rPr>
        <w:t xml:space="preserve"> för detta uppdrag. Det vore ganska märkvärdigt annars, om icke i landsförsamlingarna </w:t>
      </w:r>
      <w:r>
        <w:rPr>
          <w:b/>
        </w:rPr>
        <w:t>kvinnor¹</w:t>
      </w:r>
      <w:r>
        <w:rPr>
          <w:b w:val="0"/>
        </w:rPr>
        <w:t xml:space="preserve"> skulle kunna uppletas, som voro fullt lika kvalificerade för detta uppdrag som flertalet män. Här behöver ju icke fordras särskilda kvalifikationer för detta uppdrag. Det fordras framför allt en sund och praktisk medkänsla för olyckliga medmänniskor. Det fordras en uppfattning av samhällets plikt att stödja, där stöd behövs, och jag är alldeles viss på att sådana personer även av </w:t>
      </w:r>
      <w:r>
        <w:rPr>
          <w:b/>
        </w:rPr>
        <w:t>kvinnokön¹</w:t>
      </w:r>
      <w:r>
        <w:rPr>
          <w:b w:val="0"/>
        </w:rPr>
        <w:t xml:space="preserve"> finnas överallt i våra bygder.</w:t>
        <w:br/>
        <w:br/>
        <w:t>Jag tror också, att med den motivering, utskottet anför, när det föreslagit ett utbyte av ordet »skall» mot »bör», lagrummet skulle kunna tolkas så, att det inte är så förskräckligt noga i detta avseende utan att man bör låta det förbli vid det gamla, d. v. s. att mannen blir nära nog allenarådande även på detta område, såsom det förut varit, åtminstone i landsförsamlingarna. |</w:t>
        <w:br/>
        <w:br/>
        <w:t>Jag skall slutligen tillåta mig en liten reflektion här. Man är på vissa håll — icke så mycket i denna kammare som i med-</w:t>
        <w:br/>
        <w:br/>
        <w:t xml:space="preserve">kammaren — synnerligen rädd för att släppa fråm </w:t>
      </w:r>
      <w:r>
        <w:rPr>
          <w:b/>
        </w:rPr>
        <w:t>kvinnorna¹</w:t>
      </w:r>
      <w:r>
        <w:rPr>
          <w:b w:val="0"/>
        </w:rPr>
        <w:t xml:space="preserve"> till ett allmänt inflytande i stat och kommun — framför allt i det politiska livet. Man säger, att de förstå sig icke på detta utan att de behöva tränas, uppfostras och bildas för att kunna göra någon insats i det politiska livet. Jag undrar då, om man icke skulle vilja erkänna, att här vore ett sätt, varigenom man kunde i viss mån på ett och annat håll åtminstone skola </w:t>
      </w:r>
      <w:r>
        <w:rPr>
          <w:b/>
        </w:rPr>
        <w:t>kvinnorna¹</w:t>
      </w:r>
      <w:r>
        <w:rPr>
          <w:b w:val="0"/>
        </w:rPr>
        <w:t xml:space="preserve"> för deltagande i allmänna augelägenheter, för deltagande en gång i tiden även i de allmänna angelägenheter, som just handhavas av denna församling, vilken också är en slags överfattigvårdsstyrelse, kan man säga. Vi hålla Ju nu på här att genom diskussion antaga en lag, som bestämmer huru fattigvården skall vara ordnad och hur den bör utövas. Jag kan för min del icke tycka, att det skulle finnas de ringaste betänkligheter mot att bibehålla Kungl. Maj:ts förslag och jag tror, att det vore lyckligt, om man toge detta. Man skulle därigenom få </w:t>
      </w:r>
      <w:r>
        <w:rPr>
          <w:b/>
        </w:rPr>
        <w:t>kvinnornas¹</w:t>
      </w:r>
      <w:r>
        <w:rPr>
          <w:b w:val="0"/>
        </w:rPr>
        <w:t xml:space="preserve"> deltagande i fattigvårdsarbetet på ett mera säkert sätt tryggat än ifall man utbyter ordet »skall» mot »bör».</w:t>
        <w:br/>
        <w:br/>
        <w:t>Herr Leander: Herr talman! Jag skall be att med anledning av kammarens nyss fattade beslut få yrka bifall till den vid andra momentet av denna paragraf fogade reservationen d. v. s. att även beträffande suppleanterna i en fattigvårdsstyrelse ordet »skall» insättes i stället för ordet »bör».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