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1403</w:t>
      </w:r>
    </w:p>
    <w:p>
      <w:r>
        <w:rPr>
          <w:b/>
        </w:rPr>
        <w:t xml:space="preserve">Datum: </w:t>
      </w:r>
      <w:r>
        <w:t>1918-05-25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Johan Karlsson (Socialdemokratiska vänstergruppen, man)</w:t>
      </w:r>
    </w:p>
    <w:p>
      <w:r>
        <w:rPr>
          <w:b w:val="0"/>
        </w:rPr>
        <w:t>Herr talman! Av det föreliggande utlåtandet med förslag till sammanjämkning av kamrarnas beslut beträffande lagen om fattigvård framgår, att andra kammaren måst släppa, man kan säga, två av sina principer, som den slogs för när lagen behandlades. Det är först ifråga om 11 $, där det gäller den lika och direkta rösträtten för val av fattigvårdsstyrelse, och sedan ifråga om $ 64, vari det stipulerades, att kommunerna skulle ha rätt att bestämma om återhbetalningsskyldighet skulle behöva ifrågakomma beträffande vissa utgifter för fattigvården. I 11 8 skulle det tredje momentet om den lika och direkta rösträtten helt strykas, och i 64 $ är det nu fråga om att kamrarna skulle antaga en av högern formulerad kompromiss, som enligt mitt förmenande icke är en komprom'ss. Därtill kommer, att lagen om pensionstillskott har i viss mån ändrats i sammanjämkningsförslaget, så att den är förfuskad därhän, att en stor del understödstagare, oavsett om andra pensionsberät!igade inom kommunen skulle få uppbära pensionstillskott, icke få sådant pensionstillskott.</w:t>
        <w:br/>
        <w:br/>
        <w:t>Då jag icke kunnat finna, att sammanjämkningen såsom sådan</w:t>
        <w:br/>
        <w:br/>
        <w:t>kan tillfredsställa åtminstone mig, trots att Jag föregående gång, när saken behandlades, var tveksam, huruvida man skulle yrka avslag på det hela, drar jag mig vid detta tillfälle icke för att yrka avavslag på sammanjämkningsförslaget. Därför att den lika och direkta rösträtten är struken ur lagen, med vilken man skulle kunnat tänka sig, att det funnits möjligheter att få en humanare behandling av våra fattiga, kan man säga, att det icke är mycket kvar av utsikterna att få till stånd en förbättring på detta område. Då därtill kommer, att 64 $, sådan den lydde enligt det kungliga förslaget, som gav kommunen en viss rättighet att i vissa fall icke återfordra medel, som utbetalts till de fattiga, också är borttagen och kommunens självbestämmanderätt i dyl.ka fall absbolut borttagen, så kan man givetvis icke gå med på detta sammanjämkningsförslag, allra helst som argumentet för en omändring av 64 $&amp; nu totalt bortfallit. Räddhågan hos vissa för att antaga 64 $ bestod i att man fruktade, att ett fattigvårdssamhälle skulle enligt denna paragraf kunna besluta, att ingen återbetalningsskyldighet skulle i något fall utkrävas. Denna argumentation har emellertid bortfallit genom andra kammarens beslut att avslå förslaget om borttagande av 62 och 63 paragraferna. Det är endast i vissa fall, som denna paragraf skulle ha kunnat tillämpas, och icke över hela linjen. Därför borgar andra kammarens beslut. Det föreligger alltså icke längre någon fara för att bibehålla 64 $ i det skick som Kungl. Maj:t föreslagit. Det anförda argumentet håller, som sagt, icke längre streck efter det beslut som andra kammaren fattat.</w:t>
        <w:br/>
        <w:br/>
        <w:t>Med dessa ord ber jag att få yrka avslag på hela sammanjämkningsförslaget.</w:t>
        <w:br/>
        <w:br/>
        <w:t>Herr Källman: Herr talman! Jag vill i korthet relatera sammanjämkningsförslagets innehåll.</w:t>
        <w:br/>
        <w:br/>
        <w:t xml:space="preserve">Första kammaren har fått ungefär följande. Beträffande 11 $ 3 momentet har detta uteslutits och därmed har man tillmötesgått första kammarens uppfattning. Vidare får, i överensstämmelse med första kammarens beslut enligt 33 $, män och </w:t>
      </w:r>
      <w:r>
        <w:rPr>
          <w:b/>
        </w:rPr>
        <w:t>kvinnor¹</w:t>
      </w:r>
      <w:r>
        <w:rPr>
          <w:b w:val="0"/>
        </w:rPr>
        <w:t xml:space="preserve"> intagas på samma arbetshem, såvida för dem finnas fullständigt skilda avdelningar. Andra kammaren hade beslutat, att män och </w:t>
      </w:r>
      <w:r>
        <w:rPr>
          <w:b/>
        </w:rPr>
        <w:t>kvinnor¹</w:t>
      </w:r>
      <w:r>
        <w:rPr>
          <w:b w:val="0"/>
        </w:rPr>
        <w:t xml:space="preserve"> under inga förhållanden finge intagas på samma arbetshem. Detta är vad första kammaren vunnit i sammanjämkningen. Andra kammaren har fått sin mening godkänd beträffande 11 paragrafens första och andra moment, således att </w:t>
      </w:r>
      <w:r>
        <w:rPr>
          <w:b/>
        </w:rPr>
        <w:t>kvinnor¹</w:t>
      </w:r>
      <w:r>
        <w:rPr>
          <w:b w:val="0"/>
        </w:rPr>
        <w:t xml:space="preserve"> skola tillhöra fattigvårdsstyrelsen, ävensom beträffande 13 $, där kammaren beslutat att kyrkoherden eller hans ställföreträdare skulle äga rätt att deltaga i fattigvårdsstyrelsens förhandlirgar men icke i dess beslut. Vidare har man 1illmötesgått andra kammarens mening ifråga om 32 $, där kammaren beslutat, att föreståndare eller föreståndarinna för anstalt skulle äga nödiga förutsättningar för skötande av dvlika befattingar, och slutligen beträffande 42 8, där kammaren beslutat, att kostnaderna</w:t>
        <w:br/>
        <w:br/>
        <w:t>Det som varit svårast för mig att gå med på har varit, att man icke haft möjlighet att utbyta mot varandra 64 8 och 11 $ 3 mom. Jag hade den uppfattningen att de båda kunna vara likvärdiga, och jag har varit med om att erbjuda förstakammarsidan att godkänna endera och släppa den andra, men det har icke gått. Skulle lagen gå igenom, så måste man kompromissa i fråga om både 37 och 64 paragraferna och släppa 11 paragrafens 3 mom.</w:t>
        <w:br/>
        <w:br/>
        <w:t>Jag vill då erinra om innehållet i $$ 37 och 64, sådana dessa paragrafer lyda enligt sammanjämkningsförslaget.</w:t>
        <w:br/>
        <w:br/>
        <w:t>Enligt $ 37 äger man att förebygga framtida fattigvårdsbehov. Denna bestämmelse innefattar en mycket betydande rättighet för ett fattigvårdssamhälle respektive en fattigvårdsstyrelse.</w:t>
        <w:br/>
        <w:br/>
        <w:t>Beträffande vidare det kommunala pensionstillskottet är den inskränkning, som gjorts, mycket måttlig. Någon ändring wåste förekomma i denna lag, såvida sammaniämkning över huvud taget skulle vara möjlig, och den ändring, som har vidtagits, innebär, att en person, vilken åtnjuter pension eller understöd jämlikt pensionsförsäkringslagen men på grund av 9 $ i samma lag icke äger rätt att själv uppbära beloppet, icke kan få kommunalt tillskott utan fattigvårds karaktär. Det är den inskränkning, som gjorts, men den drabbar endast sådana, som redan äro intagna på fattigvårdsanstalt och således redan äro omhändertagna av fattigvården. Alla de, som uppbära pension eller understöd jämlikt pensionsförsäkringslagen och själva äga uppbära beloppet, hava, såvida fattigvårdssamhället Lesluter det, rätt till kommunalt pensionstillskott, utan att detta har fattigvårds karaktär.</w:t>
        <w:br/>
        <w:br/>
        <w:t>Enligt min mening är den största bristen i det förevarande sammanjämkningsförslaget att finna i $ 64. Den inskränkning, som där har vidtagits beträffande en kommuns rättigheter, tilltalar icke mig. Jag har därför icke gärna velat biträda sammanjämkningsförslaget. Jag har för övrigt varit förhindrad att deltaga i ärendets slutliga behandling, men vid de tillfällen, då jag deltagit. har jag kämpat emot att man skulle släppa efter något beträffande $ 64.</w:t>
        <w:br/>
        <w:br/>
        <w:t>Vidkommande rösträttsfrågan, som den föregående talaren lade huvudvikten vid, måste jag säga mig, att den frågan kommer naturligtvis att lösas ändå, oberoende av vilka bestämmelser, som innehållas i fattigvårdslagen. Trodde jag icke, att den kommunala rösträttsfrågan skall komma att lösas i sin helhet, kunde detta mörligen utgöra anledning att nu vrka avslag på det föreliggande sammanjämkningsförslaget, men då jag tror, att denna fråga inom den allra närmaste framtiden skall komma att lösas oberoende av vad som i detta avseende stadgas i fattigvårdslagen. kan jag icke tillmäta denna sak samma betydelse som herr Karlsson i Sandviken.</w:t>
        <w:br/>
        <w:br/>
        <w:t>Jag skall blott till detta lägga, att den största bristen, som enligt mitt förmenande vidlåder den nya fattigvårdslagen, hava båda kamrarna varit med om att godkänna redan den 11 maj, och det är vissa fattigvårdssamhällens litenhet och dessa fattigvårdssamhällens oförmåga att i överensstämmelse med lagens föreskrifter kunna fylla sina uppgifter. Det har på ett tidigare stadium både första och andra kammaren varit med om, och följaktligen är däråt ingenting att göra. Men då lagen för övrigt innehåller så betydande förbättringar, som alla veta, vilka haft tillfälle att sätta sig närmare in i saken, kunna de skäl, som den föregående talaren anfört, icke utgöra tillräcklig anledning att yrka avslag på det föreliggande förslaget.</w:t>
        <w:br/>
        <w:br/>
        <w:t>Aven om jag således på åtskilliga punkter icke är nöjd, måste jag ändå, i det läge frågan nu har, yrka bifall till utskottets samman- Jämkningsförslag.</w:t>
      </w:r>
    </w:p>
    <w:p>
      <w:pPr>
        <w:pStyle w:val="Heading2"/>
      </w:pPr>
      <w:r>
        <w:t>2. Karl Johan Karlsson (Socialdemokratiska vänstergruppen, man)</w:t>
      </w:r>
    </w:p>
    <w:p>
      <w:r>
        <w:rPr>
          <w:b w:val="0"/>
        </w:rPr>
        <w:t>Herr talman! Jag vill blott giva en hastig belysning åt hur det egentligen gått till i hela denna sak.</w:t>
        <w:br/>
        <w:br/>
        <w:t xml:space="preserve">Vad 11 $ 1 och 2 momenten angår, var det föreskrivet i Kungl. Maj:ts förslag, att en </w:t>
      </w:r>
      <w:r>
        <w:rPr>
          <w:b/>
        </w:rPr>
        <w:t>kvinna¹</w:t>
      </w:r>
      <w:r>
        <w:rPr>
          <w:b w:val="0"/>
        </w:rPr>
        <w:t xml:space="preserve"> skall inväljas i fattigvårdsstyrelsen, men tack vare en överlöpning inom utskottet — och det var från vänsterns sida — gick utskottet med på att ordet »bör» i stället skulle insättas. Andra kammaren beslöt däremot att insätta ordet »skall». Vem är orsaken till detta utbyte? Frågan står öppen.</w:t>
        <w:br/>
        <w:br/>
        <w:t>Ifråga om 13 $ hade andra kammaren redan 1913 sagt sitt ord. Det hade även där varit att vänta, att man icke behövt vare sig den ena eller andra kompromissen, därest Kungl. Maj:t hade följt den mening, som var rådande i kammaren, när det gällde att behandla 43 $ i förordningen om kommunalstyrelse på landet. Det är under sådana förhållanden icke så alldeles helt med vad herr Källman sade därom, att andra kammaren fått så mycket. Om vi undersöka orsaken, finna vi, att den är, att man redan i utskottet har släppt på saker och ting, som man icke bort släppa på.</w:t>
        <w:br/>
        <w:br/>
        <w:t>Herr Källman säger för övrigt, att, om han icke trodde, att rösträttsfrågan skulle lösas, skulle det kunna utgöra ett motiv att fälla denna lag. Men det trodde han på i närvarande stund. Jag tror mig dock kunna försäkra, att den tron är enligt mitt förmenande en ren övertro, därför att här är det endast fråga om att få en lika och direkt rösträtt till stånd, när det gäller val av fattigvårdsstyrelse. Det gäller alltså — kan man säga — icke ifråga om beviljande av medel att ställas till fattigvårdsstyrelsens förfogande, utan det gäller endast vid val av den myndighet, som skall hava hand om fattigvården såsom sådan. Det vore alltså icke fråga om några rena penningsfrågor utan endast om en humanitär uppgift, som skulle göra sig gällande inom fattigvårdsstyrelsen, genom val av styrelse efter systemet: en man en röst. När den saken av högern fällts. kan man särskilt med fog säga. att också det andra förslaget då kommer att fällas, och jag tror icke, att vi få någon lösning av frågan,</w:t>
        <w:br/>
        <w:br/>
        <w:t>såvida samma takt skall tillämpas som hittills, då det gäller att mota en gensträvig motståndare. Jag vidhåller, herr talman, ännu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