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315</w:t>
      </w:r>
    </w:p>
    <w:p>
      <w:r>
        <w:rPr>
          <w:b/>
        </w:rPr>
        <w:t xml:space="preserve">Datum: </w:t>
      </w:r>
      <w:r>
        <w:t>1918-11-12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 xml:space="preserve">(Forts.) Jag tillåter mig att med anledning av den siste talarens anförande säga ett par ord, och detta endast därför, att han snuddade vid en kategori, som jag väl känner till på grund av den verksamhet, som Jag nu utövar, den kategori av medborgare nämligen, vilken under denna ytterst allvarliga tid varit inkallad för att, om det krävdes, utöva försvaret för fosterlandet — medborgare, vilka ha under neutralitetsvakten undergått svårigheter av flere slag. Och jag vill säga — och det torde nog icke vara för oss undandolt — att särskilt under minsvepningsarbetet faran varit av den beskaffenhet, att åtskilliga människoliv ha ryckts bort. Jag var i mycket livlig beröring med dessa mobiliserade värnpliktiga, som blivit kvarhållna 1 tjänsten och även med stamanställda, icke bara med dem själva utan även med deras familjer. Jag tror, att jag i varje fall har någon inblick i vad det har kostat dem under denna tid och med de knappa möjligheter att livnära </w:t>
      </w:r>
      <w:r>
        <w:rPr>
          <w:b/>
        </w:rPr>
        <w:t>hustru²</w:t>
      </w:r>
      <w:r>
        <w:rPr>
          <w:b w:val="0"/>
        </w:rPr>
        <w:t xml:space="preserve"> och barn, som i varje fall de äldre av dem haft på grund av en lilla inkomst, som kronan givit i jämförelse med den inkomst de förut haft. Det är mer än en av dessa som ha sagt till mig: I första hand måste jag ju taga vara på de mina, så att de kunna livnära sig, men när jag utövar min medborgareplikt och gärna går ut för att värja fosterlandet, då är det bittert, att svaret skall bliva medborgarrättens förlorande. Sådan är situationen, och jag ber er, mina herrar, vara förvissade om, att detta ej är något patetiskt tal, som jag framför, utan det är verklighet. Och exempel av detta slag spridas bland folket, som förstår den orättvisa, som ligger däri; den är nog så skärande. Jag vill därför vördsamt hemställa till kammaren att taga även denna synpunkt i beaktande.</w:t>
      </w:r>
    </w:p>
    <w:p>
      <w:pPr>
        <w:pStyle w:val="Heading2"/>
      </w:pPr>
      <w:r>
        <w:t>2. Ernst Trygger (Högerns riksdagsgrupp, man)</w:t>
      </w:r>
    </w:p>
    <w:p>
      <w:r>
        <w:rPr>
          <w:b w:val="0"/>
        </w:rPr>
        <w:t>Herr talman, mina herrar! Jag ekall ej länge uppehålla kammaren, men då jag fäster en särskilt stor vikt vid, att då jag återger något, som faktiskt ägt rum, detta återgivande i alla avseenden är riktigt, måste jag bemöta statsministerns uttalande angående den redogörelse, som jag lämnade i mitt anförande. Han gjorde gällande, att denna var dels ofullständig och dels missvisande, ehuru han visserligen icke på något sätt ville säga, att det berodde på någon avsikt från min sida.</w:t>
        <w:br/>
        <w:br/>
        <w:t>Vad först ofullständigheten beträffar, så tror jag, att herrarne själva förstå, att denna ej berodde på mig utan på andra förhållanden. Jag kunde naturligtvis ej lämna .redogörelse för annat än vad jag själv varit med om, och jag kom ju ej med i den här saken tidigare än i oktober.</w:t>
        <w:br/>
        <w:br/>
        <w:t>Vad sedan beträffar påståendet att mitt anförande skulle ha varit missvisande, gjorde statsmin'stern anmärkning mot. att jag sagt, att utgångspunkten var, att författningsfrågorna skulle bahandlas vid lagtima riksdag. och han förklarade, att han uttalat, att</w:t>
        <w:br/>
        <w:br/>
        <w:t>han möjligen ej skulle kunna stå vid den meningen. Ja, jag Kungl propohar aldrig förnekat detta, utan vad jag sade var, att om en över- NET enskommelse komme till stånd, så skulle frågorna behandlas vid lag rösträttsreform tima riksdag. Det sade jag i mitt anförande. Det var förutsätt- — m. m. ningen; därom voro vi ense. (Forts.)</w:t>
        <w:br/>
        <w:br/>
        <w:t xml:space="preserve">Vidare sade herr statsministern, att han ej hade accepterat med avseende på första kammarens sammansättning, att urväljarna skulle vara 30 år. Det är alldeles riktigt; men jag har ej sagt, att statsministern accepterat detta, utan jag sade, att den frågan kunde få diskuteras. Detsamma gäller med avseende på den högre åldern för </w:t>
      </w:r>
      <w:r>
        <w:rPr>
          <w:b/>
        </w:rPr>
        <w:t>kvinnorna¹</w:t>
      </w:r>
      <w:r>
        <w:rPr>
          <w:b w:val="0"/>
        </w:rPr>
        <w:t>, att de skulle få börja först vid 30 år för att sedan så småningom gå ned till likställighet med männen. Jag har ej sagt, att statsministern givit något löfte i den vägen, utan jag sade bara, att även den saken skulle kunna diskuteras. :</w:t>
        <w:br/>
        <w:br/>
        <w:t>Vad skattestrecket beträffar ville statsministern göra gällande, att jag tillagt honom att ha sagt mera än han gjorde. Han hade i själva verket endast sagt, att för närvarande ingick icke skattestrecket i regeringens planer. De ordalagen användes emellertid inte; men i alla fall: jag har aldrig sagt, att han för evig tid avstått från det kommunala skattebetalningsstrecket, detta så mycket mindre som jag började mitt uttalande med en förklaring, att vad som vid vårt sammanträde bleve sagt endast skulle vara orienterande och icke för någondera parten bindande och sålunda icke heller bindande för statsministern.</w:t>
        <w:br/>
        <w:br/>
        <w:t>Med avseende därå, att övergångsbestämmelserna icke voro på tal, har statsministern sagt, att det vore självklart, att man skulle få övergångsbestämmelser sådana som de föreslagna. MHärför hade man precedensfall från 1909. Vad emellertid sistnämnda påstående beträffar, är det redan påpekat, att de ändringar i kommunallagarna, som blevo definitiva 1909, voro antagna redan 1907 och att deras trädande i kraft var beroende av att grundlagsändringarna först blivit av riksdagen godkända. Det var således flere år, innan de efter antagandet kommo till tillämpning. Vidare var det så, att de trädde i kraft den 1 januari 1910, men med avseende å mandaten bestämdes det, att landstingsmännen skulle sitta kvar till den 1 september 1910. Det innebar, att de, som voro valda 1908, fingo sitta hela sin tid ut, men de som valts 1909 fingo på det sättet sin tid förkortad med ett år. Emellertid: i nu förevarande fall äro ändringarna ofanligt mycket mera genomgripande, och därför är det ytterligare skäl att nu vara försiktig, när det är fråga om övergången.</w:t>
        <w:br/>
        <w:br/>
        <w:t>Det återstår endast två yttranden, som jag skall be att nu få bemöta, då det ju ej kan vara meningen att i dag gå in i någon närmare sakdebatt, ty tillfälle därtill får man, när utskottsbetänkandet inkommit. Det ena är av herr Ström och det andra av herr statsrådet Thorsson.</w:t>
        <w:br/>
        <w:br/>
        <w:t>Herr Ström har ganska kort och koncist uttalat en tanke, som förut uttalats av många, som försvarat den ståndpunkt, vilken regeringen intagit genom att helt plötsligt vid denna riksdag framlägga</w:t>
        <w:br/>
        <w:br/>
        <w:t>Kungl. propoförslag till dessa författningsändringar. Han sade bland annat, att</w:t>
        <w:br/>
        <w:br/>
        <w:t>när troner ramla och herrehus upphävas 1 andra länder, kunna vi</w:t>
        <w:br/>
        <w:br/>
        <w:t>rösträttsreform OMöjligen sitta kvar i det gamla. Detta är en ganska underlig logik.</w:t>
        <w:br/>
        <w:br/>
        <w:t>ty med samma skäl kan man ju säga, att när min granne tänder eld på sitt hus, hur kan jag då låta bli att göra detsamma? Alltsammans beror naturligtvis på, om det är något lyckligt och klokt och bra, som inträffat. Då skall jag taga efter det. Men är det något olyckligt, dåligt, skadligt, bör jag naturligtvis låta bli. Och det återstår sålunda för de herrar, som ha denna uppfattning, att visa, att detta sammanstörtande och denna våldsamma revolutionsrörelse i andra länder ha bringat dem någon lycka. Det land där man hunnit gå längst och varit grundligast, är Ryssland. Tycker verkligen herrarna, att Ryssland erbjuder exemplet på ett land, som kommit till en större lycka?</w:t>
        <w:br/>
        <w:br/>
        <w:t>Slutligen hade herr statsrådet Thorsson ett yttrande, som jag ber få vända mig mot. -— Ja, jag skulle ju också kunna säga ett och annat 'men avseende på hans erinringar mot ett yttrande, som jag hade i fråga om vissa befolkningslagers fullgörande av sin skattskyldighet, men han är delvis bemött av herr Lindblad, och det får vara nog för denna gång. — Mot kravet på iatt om vi ej skulle kunna komma överens, frågan borde hänskjutas åt folket efter nyval, sade statsrådet: det där kan ju hava något för sig under vissa förhållanden, men den kammare, som nu skulle komma in efter nyval, den kunna vi ej erkänna som ett fullödigt uttryck för folkmeningen, ty den bleve ju vald enligt bestämmelser, i vilka ingår bland annat det politiska skattebetalningsstrecket. Ja, hyllar man en sådan argumentation, då förvånar det mig mycket hur man kan finna att vi över huvud taget ha rättighet att avgöra föreliggande frågor. Hur är det möjligt, att den nuvarande andra kammaren skulle ha rättighet att vid urtiman fatta beslut i dessa frågor? Den är ju också utsedd på det sättet, att åtskilliga personer blivit uteslutna från att utöva sin rösträtt på grund av att de fallit för skattebetalningsstrecket. Fallet blir detsamma vid nästa riksdag, då ju herrarna ha för avsikt att genomföra en massa ytterligare reformer, ifall denna nu går igenom. Hur kan andra kammaren vara kompetent att vidtaga så viktiga åtgärder, när den ej utgör ett fullödigt uttryck för folkmeningen? Med en sådan argumentation som statsrådets kommer man såvitt jag kan förstå därhän, att hela representationen måste anses ha förlorat grunden för sin rätt att fatta beslut i dessa saker. Man kommer i själva verket därhän, att man måste gå till folket självt, till massorna, och rådfråga dem, huru de vilja, att dessa författningsfrågor skola avgöras.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