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1443</w:t>
      </w:r>
    </w:p>
    <w:p>
      <w:r>
        <w:rPr>
          <w:b/>
        </w:rPr>
        <w:t xml:space="preserve">Datum: </w:t>
      </w:r>
      <w:r>
        <w:t>1919-05-24</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August Johansson (Socialdemokraterna, man)</w:t>
      </w:r>
    </w:p>
    <w:p>
      <w:r>
        <w:rPr>
          <w:b w:val="0"/>
        </w:rPr>
        <w:t>Herr talman! Det harframhållits, att detta förslag endast berör de städer, som redan nu äro under landsrätt, det är väl bara en tidsfråga, när magistratsstäderna komma under samma bestämmelser. Men det är ju mycket lätt att få genom detta förslag, då det gäller så få platser, som tillhöra städer under landsrätt. Men det kommer inom kort tid att gripa omkring sig allt mer och mer.</w:t>
        <w:br/>
        <w:br/>
        <w:t>Jag vill visst icke underkänna den förmåga, som jurister ha i många fall, särskilt beträffande de angelägenheter, de äro avsedda till. Men jag vill bestämt göra gällande, att de passa icke att sitta i drätselkammaren, utan där fordras det praktiska män och finansmän. Vilka egenskaper icke alltid dessa jurister inneha utan endast juridiska kvalifikationer. Då det gäller t. ex. att bestämma om parkanläggningar, dräneringar, renhållningsverk o. d., så be-</w:t>
        <w:br/>
        <w:br/>
        <w:t>skola de också sättas på den rätta platsen, där de behövas. Och de skola icke ha till uppgift att tränga in i drätselkammarens arbete, dess sektioner eller avdelningar, ty då hinna de icke med mer än att sitta på dessa sammanträden och få ingen tid över till sina egentliga uppgifter. Det har även framskymtat i de sakkunnigas betänkande, att om borgmästaren har för mycket att göra, så skulle han ha ett sakkunnigt biträde vid sidan av den lagfarne rådmannen.</w:t>
        <w:br/>
        <w:br/>
        <w:t>Utskottets ärade ordförande har sagt om den motion, som jag jämte herr Fast avgivit, att det betyder icke så mycket, att det står ordet »minst&gt; 1 den ifrågavarande paragrafen. Men om det borttages, så har man dock fastslagit, att det endast skall bli två rådmän. Det kanske är så, att det endast för närvarande är den stad, som jag har äran tillhöra, såsom den största av de magistratslösa städerna, som skulle komma under denna bestämmelse.</w:t>
        <w:br/>
        <w:br/>
        <w:t>Den blivande kommunalborgmästaren bör i första hand vara lagfaren och handhava de uppgifter, vartill fordras juridisk utbildning. Det är min uppfattning, om man skall använda dem vid alla möjliga tillfällen, såväl när de behövas som när de icke behövas, då bli juristerna det civila livets officerare, vilket icke kommer att främja kommunalförvaltningens sunda utveckling.</w:t>
        <w:br/>
        <w:br/>
        <w:t>Borgmästarens självskrivenhet i drätselkammaren kan jag icke gå med på, då all självskrivenhet måste anses vara förkastlig. Även de sakkunniga ha ju ändrat sig betydligt, sedan de först framlade sitt förslag, och detta tack vare det motstånd, som visat sig från olika håll. Det var en lekman med bland de sakkunniga från början, men då en lekman kommer i sällskap med jurister, så tappas han bort, och jag vet icke, vart denne lekman bland de sakkunniga har tagit vägen, enär han icke varit med vid det slutliga avgörandet.</w:t>
        <w:br/>
        <w:br/>
        <w:t>Jag skall citera ett yttrande av en av de sakkunniga, som finnes återgivet i Svenska Stadsförbundets tidskrift för februari månad föregående år. Det lyder sålunda: »Enligt de sakkunnigas mening böra stadsrättigheter för framtiden endast beviljas kommuner, som äro tillräckligt ekonomiskt bärkraftiga att kunna vidkännas kostnaden för avlönande av en administrativt utbildad borgmästare». D. v. s. om förhållandena i en kommun äro sådana, att kommunen med fördel kan ombildas till stadssamhälle, och man finner det bättre att använda sig av den formen, så är det första villkoret, att man skall kunna betala en juridiskt kvalificerad borgmästare.</w:t>
        <w:br/>
        <w:br/>
        <w:t xml:space="preserve">Nu är det så, att vi ha gjort det svenska folket till myndiga män och </w:t>
      </w:r>
      <w:r>
        <w:rPr>
          <w:b/>
        </w:rPr>
        <w:t>kvinnor¹</w:t>
      </w:r>
      <w:r>
        <w:rPr>
          <w:b w:val="0"/>
        </w:rPr>
        <w:t>, Men man tycks samtidigt vara rädd för att</w:t>
        <w:br/>
        <w:br/>
        <w:t>man gått för långt i detta avseende och vill nu sätta dem under Ang. ändring förmyndare fastän i lenare former, så att man icke märker det. ' förordningen Man har sagt, det är ingen fara, ty städerna ha den ekonoere miska tyngdpunkten. Jag skall då hänvisa till en proposition förei; stad. gående år, där man även talade om den ekonomiska makten, där = (Forts. Konungens Befallningsbavande endast skulle göra erinringar till Kungl. Maj:t och Kungl. Maj:t kunde besluta om antalet tjänstemän och även deras löner. Aven här försöker man nu leda utvecklingen i denna riktning. Jag får säga, att detta är en fara, som det gäller för såväl städer som landskommuner se till att hindra i tid. Föregående år godkände riksdagen en mycket viktig princip, då det gällde att införa tremannating. Då framhölls vikten av lekmannaomdömet, och där skar man också bort alla trågor av betydelse, så att det blev endast bagatellärenden kvar. Ar det då icke lika viktigt att ha lekmannaelementet i städerna, i synnerhet då det icke är fråga om en dömande myndighet utan förvaltningsmyndighet, och att man där ser till, att man får praktiska män och icke sådana, som endast ha gått i juridisk skola. Jag skall be att få citera ett yttrande, som fälldes av en jurist, då jag hade ett samtal med onom föregående år angående denna fråga. Han sade, att han aldrig hade varit intresserad av kommunala spörsmål, men det är klart, att om det blir en borgmästareplats ledig och den betalas bra, så söker jag naturligtvis dit. Jag tror således för min del, att det lyckligaste är, att i avvaktan på bättre utredning av detta ärende avslå det föreliggande förslaget. Och jag ber därför att få yrka avslag på utskottets hemställan.</w:t>
      </w:r>
    </w:p>
    <w:p>
      <w:pPr>
        <w:pStyle w:val="Heading2"/>
      </w:pPr>
      <w:r>
        <w:t>2. Viktor Larsson (Socialdemokraterna, man)</w:t>
      </w:r>
    </w:p>
    <w:p>
      <w:r>
        <w:rPr>
          <w:b w:val="0"/>
        </w:rPr>
        <w:t xml:space="preserve">Herr talman! Jag anser mig icke böra ånyo gå in på ett bemötande av det sista anförandet, vilket ju i huvudsak upptog samma argument, som dem herr Fast här tidigare hade fört fram. Men då herr Johansson anför, att när vi här 1 landet nu ha kommit så långt, att män och </w:t>
      </w:r>
      <w:r>
        <w:rPr>
          <w:b/>
        </w:rPr>
        <w:t>kvinnor¹</w:t>
      </w:r>
      <w:r>
        <w:rPr>
          <w:b w:val="0"/>
        </w:rPr>
        <w:t xml:space="preserve"> ha fått inflytande, så böra vi se till, att vi också fullfölja demokratien på olika områden — jag förmodar detta var talarens mening — så vill jag för min del säga, att jag hyser ett fast hopp om. att demokratien här i landet skall komma att utveckla sig i rätt riktning. Men jag kan icke förstå, vad det kan ha för samband med den här frågan i annan mån, än att det utgör ett skäl för bifall till utskottets hemställan. Ty det vill jag bestämt säga ifrån, att hade vi icke nu haft det så, att alla män och </w:t>
      </w:r>
      <w:r>
        <w:rPr>
          <w:b/>
        </w:rPr>
        <w:t>kvinnor¹</w:t>
      </w:r>
      <w:r>
        <w:rPr>
          <w:b w:val="0"/>
        </w:rPr>
        <w:t xml:space="preserve">, som äro komna till en viss ålder, hade inflytande på de kommunala angelägenheterna, så hade jag för min del varit ganska betänksam mot att lägga ett lagförslag så, som det här ligger. Men nu, när dessa män och </w:t>
      </w:r>
      <w:r>
        <w:rPr>
          <w:b/>
        </w:rPr>
        <w:t>kvinnor¹</w:t>
      </w:r>
      <w:r>
        <w:rPr>
          <w:b w:val="0"/>
        </w:rPr>
        <w:t xml:space="preserve"> ha inflytande på de kommunala angelägenheterna, så lämnar man bara till dem att själva bestämma: Vill Ni ha på det och det sättet? Vill Ni använda den och den formen för Er stadsförvaltning, så bör Ni säga ifrån genom allmän</w:t>
        <w:br/>
        <w:br/>
        <w:t>borgmästare, så skall Ni genom allmän omröstning bestämma Er för vilken Ni vill ha. Och till yttermera visso — jag betonar det än en gång — fastslår utskottet i lagen, att Kungl. Maj:t skall hålla sig inom det förslag, kommunens röstberättigade genom allmän omröstning uppgjort.</w:t>
        <w:br/>
        <w:br/>
        <w:t>Jag begärde egentligen ordet, herr talman, för att för min del förklara, att jag inte har någonting emot ett bifall till det yrkande om tillägg till utskottets motivering, som herr Pettersson 1 Södertälje här framställt. Jag kan icke underlåta att säga, att vi haft ett ganska intensivt arbete inom utskottet för att kunna sammanföra de olika meningarna där, och jag ber att få fästa herrar Fasts och Johanssons uppmärksamhet på, var oppositionen mot detta förslag huvudsakligen är att finna. Detta tyder dock på, att detta förslag icke går i någon reaktionär riktning.</w:t>
        <w:br/>
        <w:br/>
        <w:t>Emellertid har från olika håll och senast av herr statsrådet och chefen för civildepartementet framhållits önskvärdheten av, att detta förslag måtte kunna bli upphöjt till lag, d. v. s. bifallas i bägge kamrarna. Statsrådet anförde också goda skäl för denna sin ståndpunkt. När man nu också försport, att oppositionen i första kammaren är beredd att taga lagförslaget med det tillägg till motiveringen, som herr Pettersson i Södertälje föreslagit, så vill jag förklara, att jag för min del icke har någonting emot att detta tillägg göres, och jag har anledning antaga, att mina kamrater i utskottet, vilka icke reserverat sig för rent avslag, icke heller ha något emot, att kammaren tar utskottets förslag med detta tilllägg.</w:t>
        <w:br/>
        <w:br/>
        <w:t>5 Jag ber sålunda, herr talman, att få ändra mitt yrkande därhän, att kammaren måtte bifalla utskottefs förslag med det till- LI68 till motiveringen, som föreslagits av herr Pettersson i Södertälje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1443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