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1462</w:t>
      </w:r>
    </w:p>
    <w:p>
      <w:r>
        <w:rPr>
          <w:b/>
        </w:rPr>
        <w:t xml:space="preserve">Datum: </w:t>
      </w:r>
      <w:r>
        <w:t>1920-04-16</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Swen Persson (Högerns riksdagsgrupp, man)</w:t>
      </w:r>
    </w:p>
    <w:p>
      <w:r>
        <w:rPr>
          <w:b w:val="0"/>
        </w:rPr>
        <w:t>Herr talman, mina herrar! Då jag för sju timmar sedan hos herr talmannen arhöll om ordet i denna debatt, så var det min tanke att åtminstone i någon må ge mig in på några få av förslagets detaljer, detaljer som jag inte kan gilla. Då jag nu detta inte gör, beror det framför allt därpå, att de skäl för vissa synpunkter, som jag tänkt framföra, redan ha anförts av åtskilliga talare här under förmiddagen och framför allt av herrar Hederstierna och Pettersson i Bjälbo. Vid sådant förhållande skall jag i motsats till flertalet talare i förmiddags, vilka hållit stora och långa tal, nöja mig med ett mycket kort anförande 1 denna så ytterst betydelsefulla och i samhällets grundvalar, för våra hem så djurt ingripande fråga.</w:t>
        <w:br/>
        <w:br/>
        <w:t>Jag vill dock säga, att, om jag omedelbart efter det jag för första gången genomläst den kungl. propositionen, hade ställts inför nödvändigheten att avge mitt votum, så hade detta inte blivit detsamma, som det blir i dag. Ty jag skall villigt erkänna, att det första intrycket som detta lagförslag gjorde på mig, var minst sagt, att det, i många delar var osmakligt, ja, nästan rent oantagligt. Sedan dess har jag sökt att så gott jag kunnat sätta mig in i lagförslaget och de verkningar, som det kommer att medföra, och jag har vid denna prövning kommit till andra, och vill jag själv så innerligt hoppas, bättre tankar. Jag kan dock ej underlåta att härvid uttala ett beklagande av att utskottet inte helt och hållet uteslutit den så mycket debatterade 6 8 i det kapitel, som nu föredragits, angående den så kallade årsuppgörelsen mellan äkta makar. Och Jag vill tillägga,</w:t>
        <w:br/>
        <w:br/>
        <w:t>Ang. ny gifatt det försvar, som vi hörde strax före middagen av herr justitiemisermålsball: nistern, icke alls ändrat min uppfattning i denna punkt. Nu är det (Fo rts.) väl så, att det inte går med lagar, de må vara aldrig så goda, att åstadkomma lyckliga äktenskap, ty därför fordras helt andra förutsätt-- ningar. Men däremot torde det med fog kunna sägas, att genom ovis, oklok lagstiftning går det lätt nog för sig att lägga grunden till oenighet i äktenskapet. Jag kan ej frigöra mig, ej värja mig för den tanken, att särskilt denna 6 $ är mycket inbjudande till att frammana en sådan osämja mellan äkta makar. Men även om denna pagraf vinner riksdagens bifall, vilket bifall icke vinnes med min röst, så kan man nog med fog säga, att de äktenskap, som kommit så långt ut på det sluttande planet, att de behöva använda denna paragraf, de tillhöra den kategori äktenskap, vilka det för båda parterna säkerligen varit lyckligast, att de aldrig kommit till stånd. Ty går det så långt, att äkta makar behöva anlita rättslig prövning av vad nyss nämnda paragraf omförmäler, förefaller det mig fullkomligt ofattbart, att ett sådant äktenskap överhuvud kan fortsättas.</w:t>
        <w:br/>
        <w:br/>
        <w:t xml:space="preserve">Men då det nu gällt för mig aft taga ställning till det föreliggande förslaget, så har jag kommit till det resultatet, att det i huvudsak vilar på den fasta grund, på vilken all lagstiftning bör byggas, nämligen rättvisans och framför allt här för den svagare parten, för </w:t>
      </w:r>
      <w:r>
        <w:rPr>
          <w:b/>
        </w:rPr>
        <w:t>kvinnan¹</w:t>
      </w:r>
      <w:r>
        <w:rPr>
          <w:b w:val="0"/>
        </w:rPr>
        <w:t>. Och då jag i denna så viktiga fråga inte vill gömma mitt votum bakom den slutna sedeln, ber jag. herr talman, i hopp att riksdagen skall avslå den 6 $ samt i $ 12 bifalla herr Petterssons i Bjälbo reservation att med dessa korta ord få yrka bifall till den nu föredragna raragrafen.</w:t>
      </w:r>
    </w:p>
    <w:p>
      <w:pPr>
        <w:pStyle w:val="Heading2"/>
      </w:pPr>
      <w:r>
        <w:t>2. Karl Magnusson (Lantmanna- och borgarepartiet inom andrakammaren, man)</w:t>
      </w:r>
    </w:p>
    <w:p>
      <w:r>
        <w:rPr>
          <w:b w:val="0"/>
        </w:rPr>
        <w:t>Herr talman! Jag föranleddes att begära ordet i anledning av herr Hederstiernas yttrande under förmiddagens debatt. Han yttrade där, att vi hade ställt allt för stora fordringar på lagen. Det var. sade han, inte möjligt, att lagen kunde fostra eller att man på lagens väg kunde fostras till goda äktenskap. Jag hör inte till dem, som har haft en sådan övertro på lagstiftningen och dess förmåga att fostra. Men jag tror, att herr Hederstierna, om han vore här närvarande och hade tillfälle att höra vad jag säger, skulle ge mig rätt däruti, att lagen kanske kan ha en annan verkan, nämligen att fostra till dåliga och olyckliga äktenskap. Jag menar i detta fall — och jag tror, att jag och många med mig ha tillräckligt tydligt uttalat våra farhågor i det avseendet — att just därigenom att lagen underlättar skilsmässor, att den inför skiljaktiga moment i äktenskap, där det förut varit fullkomlig samhörighet, så kan följden bli den, att det blir flera olyckliga äktenskap. än vad förut varit fallet.</w:t>
        <w:br/>
        <w:br/>
        <w:t>Vidare yttrade herr Hederstierna, att de flesta människor nu inte hade någon aning om den rådande lagstiftningen på detta område, den nuvarande giftermålsbalken. Detta kan vara alldeles rik-</w:t>
        <w:br/>
        <w:br/>
        <w:t>tigt. Men jag tror ocksa, att man å andra sidan lår medgiva, att man tvingas att få en aning om den lagstiltning, man nu synes vara beredd att genomdriva. Därvidlag blir det nog ett helt och hållet olika förhållande. Medan man förut icke har haft någon anledning att befatta sig med lagens bestämmelser annat än i de hittills åtminstone relativt fåtaliga fall, då det blivit fråga om skilsmässa eller andra sådana saker, så blir det ju nu helt och hållet olika, då det blir skillnad ifråga om egendom, då en atfär eller en rättshandling egentligen icke kan avslutas, utan att bägge makarna ge sitt samtycke därtill. Då blir det ju ett helt annat förhållande än förut, och då blir den stora frågan den, huruvida icke genom denna skiljaktighet mot de föregående förhållandena man åstadkommer någonting, som kommer att så att säga tränga sig emellan barken och veden, som kommer att åstadkomma spliitring och skiljaktigheter i äktenskap, där förut rått fullkomlig överensstämmelse.</w:t>
        <w:br/>
        <w:br/>
        <w:t xml:space="preserve">En annan talare under förmiddagen, herr Pettersson i Bjälbo, yttrade, att man hade uttalat farhågor år 1915, då den nya lagen angående äktenskaps ingående och upplösning antogs, att den skulle medföra ofördelaktiga verkningar men att någonting sådant icke hade försports. Ja, man kan väl inte säga, att vi ännu haft så lång erfarenhet av den lagen, att man nu kan draga några bestämda slutsatser angående dess verkningar. Men vad vi då antogo, det var dock icke i så hög grad ägnat att medföra sådana verkningar, som den fortsättning, man nu är beredd att taga. Man ändrade då i någon mån på formerna för äktenskaps ingående och upplösning, man underlättade framför allt i någon mån dess upplösning, men man införde icke det alldeles nya, som man nu vill införa, nämligen denna upplösning av egendomsgemenskapen, dessa förhållanden ifråga om barnen, denna ersättning till </w:t>
      </w:r>
      <w:r>
        <w:rPr>
          <w:b/>
        </w:rPr>
        <w:t>hustrun²</w:t>
      </w:r>
      <w:r>
        <w:rPr>
          <w:b w:val="0"/>
        </w:rPr>
        <w:t>, som det kan bli fråga om, och så vidare. Och det är detta, som enligt min mening innebär de största vådorna och som kommer att medföra, att det blir flera äktenskap som gå sönder, än vad förut varit fallet. Och detta gör, att man inte utan vidare kan säga, att därför att vi togo 1915 års lag, så skola vi också taga denna fortsättning och att detta icke innebär några mer risker. Ty då anser Jag för min del, att man är inne på fel väg.</w:t>
        <w:br/>
        <w:br/>
        <w:t xml:space="preserve">Herr Pettersson i Södertälje yttrade, att vi hade anledning att vara de arkitekter tacksamma. som hade timrat upp detta enligt hans mening mycket fullkomliga och präktiga lagförslag. Han yttrade, att landets </w:t>
      </w:r>
      <w:r>
        <w:rPr>
          <w:b/>
        </w:rPr>
        <w:t>kvinnor¹</w:t>
      </w:r>
      <w:r>
        <w:rPr>
          <w:b w:val="0"/>
        </w:rPr>
        <w:t xml:space="preserve"> hade visat sin tacksamhet och att även männen hade skäl att instämma i den tacksamheten. Jag tror, att man ändå måste erkänna, att de </w:t>
      </w:r>
      <w:r>
        <w:rPr>
          <w:b/>
        </w:rPr>
        <w:t>kvinnor¹</w:t>
      </w:r>
      <w:r>
        <w:rPr>
          <w:b w:val="0"/>
        </w:rPr>
        <w:t>. som ha uttalat sin tacksamhet ärg ganska få. Och jag tror också, att det är för mycket begärt av oss män, att vi skola utan vidare vara beredda att uttala vår tacksamhet för ett lagförslag sådant som det föreliggande. Man har väl ändå anledning att ställa sig betänksam inför alla dessa nymodigheter, alla dessa förändrade förhållanden, som man befarar skola lossa familjebanden och hemkänslan, som skola medföra skiljaktighet, där full överensstämmelse bör råda. Jag tror, att det är för tidigt att nu påkalla någon större tacksamhet. När om längre eller kortare tid er-</w:t>
        <w:br/>
        <w:br/>
        <w:t>Ang. ny giffarenhet vunnits, då kan man kanske hoppas få anledning till tacktermålsbalk samhet. Men när man snarare har anledning tro, att förhållandet blir</w:t>
        <w:br/>
        <w:br/>
        <w:t>det motsatta, så kan jag för min del icke annat än finna det riktigast att ställa sig på avslagslinjen.</w:t>
      </w:r>
    </w:p>
    <w:p>
      <w:pPr>
        <w:pStyle w:val="Heading2"/>
      </w:pPr>
      <w:r>
        <w:t>3. Henning Leo (Socialdemokraterna, man)</w:t>
      </w:r>
    </w:p>
    <w:p>
      <w:r>
        <w:rPr>
          <w:b w:val="0"/>
        </w:rPr>
        <w:t>Herr talman! Jag hade icke tänkt besvära kammaren med att yttra mig i principdebatten, enär de skäl, varpå utskottet byggt sitt utlåtande, av andra medlemmar av utskottsmajoriteten blivit till fullo belysta. Då jag ändå ber att få taga ett par minuter av tiden i anspråk, sker det därför att tvenne föregående talare i debatten hava gjort mig den äran att citera en tidningsartikel, som jag för några dagar sedan har skrivit om giftermålslagen, och därför att den ene av dessa talare, herr Forssell, föll för journalistens frestelse och drog oriktiga slutsatser av citatet. Jag har i denna artikel yttrat — och det är vad de båda talarna citerat — att jag har den meningen, att detta lagförslag, har varit väl litet känt ute bland allmänheten. Denna min uppfattning vidhåller jag, och jag får säga, att den blev ytterligare styrkt genom herr Forssells anförande, då jag hörde, att han ägnade endast någon minut av sitt jämförelsevis långa tal till ett försök till saklig kritik av förslaget. Det enda han i detta sitt försök lyckades övertyga åtminstone mig om var, att han icke fullt upfattat varken gällande rätt eller den på området nu föreslagna.</w:t>
        <w:br/>
        <w:br/>
        <w:t>Jag har således fortfarande den uppfattningen, att det icke hade varit ur vägen, om vårt folk, som ju i gemen kommer att inrangeras under lagen, hade fått något längre tid på sig för att bilda sig omdöme om förslaget. Samma uppfattning har jag emellertid beträffande nästan samtliga större lagförslag, som framkomma 1 vårt land och föreläggas riksdagen till behandling. Det är tyvärr så, att allmänheten har jämförelsevis kort tid på sig för att sätta sig in i alla de mer eller mindre stora och omfattande lagförslag, som framläggas på riksdagens bord. Mitt uttalande i tidningen åsyftade egentligen ingenting annat än att understryka ett litet önskemål i den riktningen, att vi för framtiden skola få mera tillfälle och mera tid att granska vad som avses skola bli gällande lag.</w:t>
        <w:br/>
        <w:br/>
        <w:t>Det har således aldrig varit min avsikt att på något sätt förutsätta, att riksdagen skulle avslå denna lag på grund av det anmärkta förhållandet. Tvärtom, jag är också av den uppfattningen, att detta lagförslag kanske mer än de flesta andra lagförslag, vi haft att under de senare åren behandla, blivit föremål för allmän uppmärksamhet, och jag är för min del icke alls säker på, att om vi hade fått ännu längre "tid på oss, den allmänna opinionen hade gått i den riktning, som herr Forssell önskat och önskade. Alla tecken tyda på, att ju längre och ju mera pressen och allmänheten fått tillfälle debattera lagens grundprinciper desto mera har kritiken mattat av och för närvarande är det faktiskt så, att den ej från mer ansvarigt eller inflytelserikt håll i större utsträckning längre vidhålles.</w:t>
        <w:br/>
        <w:br/>
        <w:t>Herr Forssell citerade emellertid också ett annat yttrande i den påpekade artikeln. Jag hade där skrivit, att den nya lagens förmö-</w:t>
        <w:br/>
        <w:br/>
        <w:t>genhetsoch rättsförhållanden icke hade något vidare intresse 1 stort sett för de obemedlade klasserna i allmänhet. Nu är det alldeles uppenbart för dem, som aldrig så litet vill göra sig möda att läsa artikeln i dess helhet, att jag med uttrycket rättsförhållanden menar äganderättsförhållanden. Det har genom ett skriveller tryckfel kommit att stå endast rättsförhållanden, men av satserna före och efter framgår det fullt tydligt och klart, att det gäller äganderätten. Jag ansåg det ej behövligt att för tidningens läsare göra den lilla rättelsen, och ännu mindre skulle det väl vara nödvändigt för en journalist av facket. Emellertid drager herr Forssell av det citatet den slutsatsen, att lagen icke skulle hava något intresse för socialdemokraterna. Nu är det alldeles tydligt, att de obemedlade klasserna icke ha samma intresse av de förmögenhetsoch äganderättsregler, som lagen uppställer, som de förmögna och besuttna klasserna ha. Men så vida herr Forssell menar, att detta ringare intresse hos socialdemokraterna skulle sträcka sig in även i riksdagen och till de socialdemokratiska ledamöterna inom lagutskottet, så skall jag be att på det allvarligaste få protestera mot en sådan uppfattning och sådana slutsatser. Jag vet ej, huru det är med den saken hos herr Forssell och hans meningsfränder, men det är jag alldeles på det klara med, att de socialdemokratiska utskottsledamöterna hava beträffande detta lagförslag även i de punkter, som icke hava direkt samma intresse för de obemedlade som för de bemedlade, med allra största intresse i alla fall i mån av förmåga ägnat sin tid, sitt arbete, och sina krafter åt att försöka få fram det bästa resultatet.</w:t>
        <w:br/>
        <w:br/>
        <w:t>Nu har det sagts och upprepats också av herr Forssell. att en lag skall tränga ut i folkmedvetandet, skall reglera det levande livet och göras till hela folkets egendom. Han ville därmed gendriva påståendet och uppfattningen, att äktenskapslagen icke har till uppgift att reglera alla äktenskap, således även de normala, de mera lyckliga, utan har till sin huvudsakliga uppgift att träda in vid de tillfällen, då äktenskapet av en eller annan anledning hotar att brista. s Ja, jag vet nu icke, vad man menar med ett sådant uttryck, som att lagens uppgift skall vara att leva ute i folkmedvetandet och gripa in i folkets liv. Det är väl i alla fall på det viset, att det beror helt och hållet på vilka lagar det gäller. En del lagar ha den uppgiften; en del lagar ha den icke. Jag undrar, vad herr Forssell har för uppfattning om exemmelvis konkurslagen. Menar han, att denna lag skall leva ute i folkmedvetandet och gripa in i folkets liv? Är det ej så, att konkurslagen är ett typiskt exempel på en lag, som träder till då förhållandena på ett visst område bli mer och mer ohållbara och Jå samhället har en skyldighet att ingripa för att främja andra eller tredje mans rätt? Så länge man lever under drägliga ekonomiska förhållanden, har man ej ringaste behov av konkurslagen, bryr man sig inte det ringaste om att se vad som står där. Först då det ekonomiska tillståndet hotar att gå sönder på ett eller annat sätt, får man intresse för lagen, och först då får lagen intresse för dem det gäller.</w:t>
        <w:br/>
        <w:br/>
        <w:t>Det anförda förhållandet är naturligtvis inte precis amalogt med vad som rör äktenskapslagen. Men äktenskapslagens huvudsakligaste uppgift är dock och måste bli att försöka hela äktenskap, som hota att brista, och, då de redan hava gått över bristningspunkten, försöka att skipa rätt mellan makarna. Den gamla lagen har icke förmått, eller i varje fall förmår den icke längre fylla denna uppgift. Tvärtom har den gällande lagen genom bestämmelserna om mannens målsmanskap och förvaltningsrätt ofta hotat bidraga till hemmets 'söndrinig och upplösning, och målsmanskapet har genom den motsättning, vari det under senare årtionden kommit i förhållande till det allmänna rättsmedvetandet, blivit det på äkxtenskapet frätande skedwvatten, varom herr Forssell talade.</w:t>
        <w:br/>
        <w:br/>
        <w:t>Då jag för min del, inom utskotttet biträtt utskottsmajoritetens ståndpunkt, beror det således först och främst därpå, att den gällande rätten står i uppenbar strid mot rättsmedvetandet. Utvecklingen har för länge sedan gått den gällande rätten förbi. Men det beror också därpå, att jag har, såvitt jag förmått bedöma, funnit, att av alla hittills under överläggningen framkomna förslag, det föreliggande lagförslaget står i bästa överensstämmmelse med den under senare årtionden utbildade rättsåskådningen. Avskaffandet av mannens målsmanskap, reglering av förmögenhets-, äganderättsoch allmänna rättsförhållanden mellan makarna är ingenting annat än en inpassning i lagen av vad som redan i levande livet faktiskt gäller eller allmänt önskas.</w:t>
        <w:br/>
        <w:br/>
        <w:t xml:space="preserve">Denna lag bör, i vad den nu avser att giva </w:t>
      </w:r>
      <w:r>
        <w:rPr>
          <w:b/>
        </w:rPr>
        <w:t>kvinnan¹</w:t>
      </w:r>
      <w:r>
        <w:rPr>
          <w:b w:val="0"/>
        </w:rPr>
        <w:t xml:space="preserve"> ett större inflytande inom äktenskapet, ses icke blott som en 'frukt av den allmänna utvecklingen. Det har sagts, att detta lagförslag är ett uttryck för degeneration. Därom skall jag icke i detta samimanhang yttra mig. Det kan emellertid utav lem. som så betrakta förslaget, väl i alla fall icke bestridas, att förslaget dock är en frukt av den allmänna utvecklingen, och talet om degeneration beror därför på med vilka blickar man ser den väg, som denna utveckling har tagit. Men obvsett allting annat, oavsett att den allmänna utvecklingen på olika områden kräver, att </w:t>
      </w:r>
      <w:r>
        <w:rPr>
          <w:b/>
        </w:rPr>
        <w:t>hustrurna²</w:t>
      </w:r>
      <w:r>
        <w:rPr>
          <w:b w:val="0"/>
        </w:rPr>
        <w:t xml:space="preserve"> ställas lika berättigade med männen inom äktenskapet, så förefaller det mig, som om våra svenska </w:t>
      </w:r>
      <w:r>
        <w:rPr>
          <w:b/>
        </w:rPr>
        <w:t>kvinnor¹</w:t>
      </w:r>
      <w:r>
        <w:rPr>
          <w:b w:val="0"/>
        </w:rPr>
        <w:t xml:space="preserve"> genom sina under generationer gjorda insatser ifråga om de svenska hemmens och det svenska samhällets bestånd med ära själva tillkämpat sig den plats. som lagförslaget nuv vill giva dem, och jag ber därför.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1462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