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372</w:t>
      </w:r>
    </w:p>
    <w:p>
      <w:r>
        <w:rPr>
          <w:b/>
        </w:rPr>
        <w:t xml:space="preserve">Datum: </w:t>
      </w:r>
      <w:r>
        <w:t>1920-04-17</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Ernst Trygger (Högerns riksdagsgrupp, man)</w:t>
      </w:r>
    </w:p>
    <w:p>
      <w:r>
        <w:rPr>
          <w:b w:val="0"/>
        </w:rPr>
        <w:t>Herr talman! Jag ber att få nämna, att ehuru jag för min del helst skulle rösta för att greve Spens” reservation bleve den, som vunne kammarens bifall, jag dock vid ett val mellan utskottets förslag och herr Leos reservation icke hyser någon som helst tvekan att föredraga den senare. Ty om den också icke helt kan fylla den uppgift, som jag anser att förevarande bestämmelse avser att realisera, tror jag dock, att den kommer att väsentligt bättre befordra föräldrarnas auktoritet än utskottets förslag, vilket, så vitt jag kan förstå, kommer att undergräva densamma.</w:t>
        <w:br/>
        <w:br/>
        <w:t xml:space="preserve">Dör make och lämnar ej efter sig bröstarvinge eller adoptivbarn eller dess bröstarvinge, ärve andra maken hälften av kvarlåtenskapen, om efter den döde finnes fader eller </w:t>
      </w:r>
      <w:r>
        <w:rPr>
          <w:b/>
        </w:rPr>
        <w:t>moder²</w:t>
      </w:r>
      <w:r>
        <w:rPr>
          <w:b w:val="0"/>
        </w:rPr>
        <w:t xml:space="preserve"> eller syskon eller dess avkomling, men eljest hela kvarlåtenskapen.</w:t>
      </w:r>
    </w:p>
    <w:p>
      <w:pPr>
        <w:pStyle w:val="Heading2"/>
      </w:pPr>
      <w:r>
        <w:t>2. Carl Axel Reuterskiöld (Utan partibeteckning, man)</w:t>
      </w:r>
    </w:p>
    <w:p>
      <w:r>
        <w:rPr>
          <w:b w:val="0"/>
        </w:rPr>
        <w:t>På förut under debatten särskilt av</w:t>
        <w:br/>
        <w:br/>
        <w:t>herr Westman anförda skäl ber jag att få yrka avslag på lagför- Lagförslag</w:t>
      </w:r>
    </w:p>
    <w:p>
      <w:pPr>
        <w:pStyle w:val="Heading2"/>
      </w:pPr>
      <w:r>
        <w:t>3. unknown (–, –)</w:t>
      </w:r>
    </w:p>
    <w:p>
      <w:r>
        <w:rPr>
          <w:b w:val="0"/>
        </w:rPr>
        <w:t>Herr talman! Jag anhåller att få yrka bi- (For</w:t>
        <w:br/>
        <w:br/>
        <w:t>fall till förslaget. |</w:t>
        <w:br/>
        <w:br/>
        <w:t>Barn av äkta makar, som vid barnets födelse äro medlemmar av samma främmande trossamfund, må i dess lära uppfostras. Äro föräldrarna vid barnets födelse medlemmar av skilda främmande trossamfund; äge föräldrarna bestämma, i vilketdera samfundets lära barnet skall uppfostras. Tillhör endera sådant trossamfund och den andre svenska kyrkan; då skall barnet i evangeliskt lutherska läran uppfostras. Har emellan makarna träffats avtal om deras barns uppfostran i evangeliskt lutherska läran eller främmande troslära, som en av makarna bekänner; vare sådant avtal gällande, så framt det blivit före äktenskapets ingående skriftligen upprättat och för vigselförrättaren uppvisat.</w:t>
        <w:br/>
        <w:br/>
        <w:t>Då föräldrarna övergå från svenska kyrkan till främmande trossamfund eller från ett sådant till annat, må de bestämma, i vilketdera samfundets lära barnet skall uppfostras.</w:t>
        <w:br/>
        <w:br/>
        <w:t>Kunna föräldrarna ej enas om i vilken troslära barnet skall uppfostras, då det, enligt vad nu är sagt, ankommer på dem att bestämma därom, skall vad i 6 $ av lagen om barn i äktenskap stadgas lända till efterrättelse. Tillkommer vårdnaden om barn allenast den ene av föräldrarna skall vad i första och andra styckena är sagt om föräldrarna tillämpas angående den, som har vårdnaden.</w:t>
        <w:br/>
        <w:br/>
        <w:t xml:space="preserve">Barn av föräldrar, som ej ingått äktenskap med varandra, må, där modern tillhör främmande trossamfund, i </w:t>
      </w:r>
      <w:r>
        <w:rPr>
          <w:b/>
        </w:rPr>
        <w:t>hennes²</w:t>
      </w:r>
      <w:r>
        <w:rPr>
          <w:b w:val="0"/>
        </w:rPr>
        <w:t xml:space="preserve"> troslära uppfostras. Övergår modern från svenska kyrkan till främmande trossamfund eller från ett sådant till annat, må </w:t>
      </w:r>
      <w:r>
        <w:rPr>
          <w:b/>
        </w:rPr>
        <w:t>hon²</w:t>
      </w:r>
      <w:r>
        <w:rPr>
          <w:b w:val="0"/>
        </w:rPr>
        <w:t xml:space="preserve"> bestämma, i vilketdera samfundets lära barnet skall uppfostras. Varder fadern förord-</w:t>
        <w:br/>
        <w:br/>
        <w:t>nad till förmyndare för barnet, skall vad nu är sagt om modern tilllämpas beträffande fadern.</w:t>
        <w:br/>
        <w:br/>
        <w:t>»Enligt föreliggande förslag, som av utskottet tillstyrkts, skall, då föräldrarna ej kunna enas om, i vilken troslära barnet skall uppfostras, endera av dem äga rätt påkalla frågans dragande inför domstol. Beträffande min åsikt om det olämpliga uti att draga frågor om barnets angelägenheter inför domstol gäller även här vad jag anfört 1 min reservation vid 6 $ i lagen om barn i äktenskap. Här må blott påpekas det för vår tids uppfattning rent orimliga och skrämmande uti en lagstiftning, som vill låta en domstol tilldöma en person en viss religion. - |</w:t>
        <w:br/>
        <w:br/>
        <w:t>Jag har sålunda ansett, att utskottet beträffande tredje stycket 1 ovannämnda paragraf bort föreslå följande lydelse:</w:t>
        <w:br/>
        <w:br/>
        <w:t>Tillkommer vårdnaden om barn allenst den ene av föräldrarna, skall vad i första och andra styckena är sagt om föräldrarna tilllämpas angående den, som har vårdnaden.»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372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