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434</w:t>
      </w:r>
    </w:p>
    <w:p>
      <w:r>
        <w:rPr>
          <w:b/>
        </w:rPr>
        <w:t xml:space="preserve">Datum: </w:t>
      </w:r>
      <w:r>
        <w:t>1922-04-20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Paul Hellström (Frisinnade folkpartiet, man)</w:t>
      </w:r>
    </w:p>
    <w:p>
      <w:r>
        <w:rPr>
          <w:b w:val="0"/>
        </w:rPr>
        <w:t>Herr greve och talman! Det skäl, som av reservanterna anförts för deras förslag, är huvudsakligen det, att ifall riksdagen skulle bifalla jordbruksutskottets föreliggande förslag, skulle man ställa eleverna vid folkhögskolorna och lantmannaskolorna i olika ställning, och på grund därav har man här yrkat, att riksdagen i stället skulle bibehålla anslaget vid den karaktär, som Kungl. Maj:t föreslagit, nämligen att vara ett »förslagsanslag, högst». Anslaget har ju före år 1917 varit förslagsanslag, högst, men efter 1917 ändrades det till förslagsanslag, således utan begränsningen »högst»; och detta på grund av de olägenheter, som visade sig förenade med den andra ordningen.</w:t>
        <w:br/>
        <w:br/>
        <w:t xml:space="preserve">Jag ber, för att belysa den saken, att få erinra kammaren om att vad det här gäller är fattiga pojkar och </w:t>
      </w:r>
      <w:r>
        <w:rPr>
          <w:b/>
        </w:rPr>
        <w:t>flickor²</w:t>
      </w:r>
      <w:r>
        <w:rPr>
          <w:b w:val="0"/>
        </w:rPr>
        <w:t xml:space="preserve"> från lantbrukarhem, som önska genomgå lantbrukets utbildningskurser. Dessa fattiga ungdomar kunna i allmänhet icke genomgå en sådan kurs, om de ej ha säkerhet för att erhålla det understöd, som riksdagen ansett, att de skola ha. Före 1917 utdelades dessa anslag av hushållningssällskapen, och jag har sedan många år såsom sekreterare i ett hushållningssällskap varit i tillfälle att på mycket nära håll se, vilka olägenheter, som varit förenade med ett begränsat anslag. Å ena sidan vågade dessa ungdomar ej söka sig in i skolorna utan att vara säkra om att få understöd, å andra sidan kunde varken skolstyrelsen eller hushållningssällskapens förvaltningsutskott, som då utdelade dessa understöd, giva ett sådant löfte, därför att man icke visste, hur stort antal sökande till de olika undervisningsanstalterna i hela landet skulle komma att anmäla sig. Om det blev ett mindre antal sökande, räckte anslaget, och då kunde de få vad som ställts i utsikt, men om ett större antal sökande anmälde sig, kunde de icke få det. Vad blev då följden av detta förhållande? Skolföreståndaren var naturligtvis angelägen att få elever, oberoende av vilken ekonomisk ställning dessa hade. Därför ansåg han sig, för att vara säker om att få dessa elever, böra lova dem, att ifall de började kursen, de skulle få det understöd, som ifrågasatts. Sedan visade det sig flera år, att det icke räckte till. Då hade föreståndaren intet annat att göra än att själv utbetala skillnadsbeloppet, men skolföreståndaren var i allmänhet icke i den ekonomiska situation, att han utan olägenhet kunde göra detta, och på grund härav kommo framställningar till vederbörande hushållningssällskap om att täcka bristen. Sålunda visade det sig förenat med mycket stor olägenhet att ha anslaget på detta sätt begränsat, och därför ändrades det, så att det blev ett vanligt förslagsanslag. Det har också visat sig, att detta anslag varit av ofantligt stor betydelse för lantbruksundervisningens utveckling i vårt land.</w:t>
        <w:br/>
        <w:br/>
        <w:t xml:space="preserve">Nu har mot detta jordbruksutskottets förslag anförts av reservanterna, att folkhögskolorna därigenom skulle komma i en annan ställning än lantmannaskolorna. Jag har varit mycket intresserad för denna fråga och lika intresserad för folkhögskolorna som lantmannaskolorna. Då åttonde huvudtiteln förelåg i kammaren, tog jag i övervägande, om jag icke borde uppträda i frågan, men jag ansåg förhållandena beträffande dessa båda skolformer så olikartade, att det icke fanns fullgoda skäl att yrka på ändring beträffande statsutskottets förslag under åttonde huvudtiteln, sålunda till elevunderstöden vid folkhögskolorna. Jag anser däremot, att synnerligen goda skäl i nu föreliggande fall förefinnas. Vi få komma ihåg den mycket stora skillnad, som råder mellan de båda anslagen under åttonde och nionde huvudtitlarna. Det som på åttonde huvudtiteln går till understöd åt elever vid folkhögskolorna gäller, kan man säga, egentligen endast en eller två skolformer. Vissa kurser äro visserligen avsedda för manliga och andra för </w:t>
      </w:r>
      <w:r>
        <w:rPr>
          <w:b/>
        </w:rPr>
        <w:t>kvinnliga¹</w:t>
      </w:r>
      <w:r>
        <w:rPr>
          <w:b w:val="0"/>
        </w:rPr>
        <w:t xml:space="preserve"> elever, och på vissa andra håll har man samskolor, men organisationen är dock i det hela densamma. Anslaget på nionde huvudtiteln avser däremot icke mindre</w:t>
        <w:br/>
        <w:br/>
        <w:t xml:space="preserve">1 södra och mellersta Sverige, vidare lantbruksskolorna i Norrland med ettårig kurs, vidare vinterkurserna vid lantbruksskolorna i Norrland, lantmannaskolorna, lanthushållsskolorna, utbildningskurser för ladugårdsskötare, utbildningskurser för </w:t>
      </w:r>
      <w:r>
        <w:rPr>
          <w:b/>
        </w:rPr>
        <w:t>kvinnliga¹</w:t>
      </w:r>
      <w:r>
        <w:rPr>
          <w:b w:val="0"/>
        </w:rPr>
        <w:t xml:space="preserve"> mejerielever och till sist fasta kurser, som anordnas av hushållningssällskapen. Om man tar hänsyn till denna stora olikhet, kan man icke av den omständigheten att riksdagen beviljar anslag såsom förslagsanslag, högst, till folkhögskolorna, finna något egentligt motiv, varför man skall använda samma form för här ifrågavarande anslag. Då ansökningarna till folkhögskolorna komma in, gå dessa till skolöverstyrelsen. Den vet, hur många folkhögskolor det finnes i riket. Upprättandet av en folkhögskola är icke någon sådan småsak, att man kan inbilla sig, att man ett tu tre kan ha en ny sådan i ordning och komma med anspråk på anslag till dess elever, utan man vet, då anslaget fördelas, hur många sådana skolor det finnes, I allmänhet börja kurserna på hösten och fortsätta till våren. Man kan ganska tidigt, medan skolan pågår, bilda sig ett omdöme om, hur stort anslagsbehovet är, och sålunda kan man göra en fördelning av anslaget. Däremot ställer sig saken på annat sätt beträffande de sju å åtta skolformer, som avse lantbruksundervisningen. Somliga skolor börja på hösten, andra på våren. Vid vissa av dessa skolor anordnas en kurs, vid andra två kurser, och återigen andra ha tre kurser. Då den första kursen anordnas, vet man ofta ej, om det blir två eller tre kurser, ty det är beroende av antalet ansökningar, som komma in. Dessutom ha vi de av hushållningssällskapen anordnade fasta kurserna, och detta är en alldeles oberäknelig faktor. Man vet icke i början av året, huru många kurser, som komma att anordnas. Dessa kurser anordnas i allmänhet på hösten, och då det finnes 26 olika hushållningssällskap, är det omöjligt att på förhand kunna bedöma, huru många kurser som komma att anordnas. Under nuvarande tidsförhållanden har det dessutom visat sig, att dessa småbrukarekurser fått mycket större betydelse än de förut haft. I det hänseendet vill jag erinra om den erfarenhet, som gjorts i Sveriges nordligaste län, nämligen Norrbottens län. Egendomsfördelningen bland småbrukarna är där sådan, att större delen av den jordbrukande befolkningen är hänvisad till att söka arbetsförtjänst på annat håll. Då man anordnar sådana kurser, är det nödvändigt att anordna dem så tidigt, att icke de unga männen redan givit sig i väg till timmerskogarna. För närvarande finnes intet arbete i timmerskogarna, utan de gå utan sysselsättning, för såvitt de icke fått något nödhjälpsarbete. I,andshövding Malm har med anledning härav vidtagit åtgärder för att i större utsträckning få till stånd dylika kurser för arbetslösa småbrukarynglingar. Det skulle vara hårt, om man av budgettekniska hänsyn, som icke kan ha något inflytande på budgeten, skulle ställa det så, att dylika kurser, som anordnats av hushållningssällskapen, icke skulle kunna understödjas på vanligt sätt. Om reservationen bifalles, måste det sannolikt ordnas så, att alla olika skolformers elever få vänta på understöd till året efter det de genomgått kurserna, men litet känner man den fattiga lantbrukande befolkningen, om man tror, att</w:t>
        <w:br/>
        <w:br/>
        <w:t xml:space="preserve">detta skulle bliva en tillfredsställande anordning. Dessa pojkar och </w:t>
      </w:r>
      <w:r>
        <w:rPr>
          <w:b/>
        </w:rPr>
        <w:t>flickor²</w:t>
      </w:r>
      <w:r>
        <w:rPr>
          <w:b w:val="0"/>
        </w:rPr>
        <w:t xml:space="preserve"> måste redan då de gå till kurserna veta, vilka understöd de få.</w:t>
        <w:br/>
        <w:br/>
        <w:t>Nu har man sagt, att, då man beviljade ett dylikt anslag under åttonde huvudtiteln såsom förslagsanslag, högst, skulle det vara förenat med budgettekniska olägenheter att bevilja detta anslag såsom ett vanligt förslagsanslag. Jag tror, att man överdrivit de budgettekniska synpunkterna i detta fall. Jordbruksutskottet hade anhållit, att föredraganden i lantbruksstyrelsen skulle komma upp i utskottet för att lämna vissa upplysningar, innan vi fattade beslut i frågan. Vederbörande föredragande kom också upp och visade oss, hurusom lantbruksstyrelsen handhaft dessa anslag med synnerligt stor sparsamhet. Kungl. Maj:t och riksdagen hava bestämt, att understöd skall utgå till dels obemedlade och dels mindre bemedlade, men lantbruksstyrelsen har ytterligare uppdelat dem i två grader obemedlade och två grader mindre bemedlade för att få de olika variationerna av understödsbehovet tillgodosedda. Detta har gjort, att fastän det funnits statsanslag att tillgå, har det något år icke utdelats till så stort belopp som anvisats eller upptagits i staten. För min del är jag övertygad om — och jordbruksutskottets majoritet var också övertygad om — att därest man tog detta som vanligt förslagsanslag, ingen större fara från budgetteknisk synpunkt skulle följa därav än att det möjligen skulle kunna gälla ett eller annat tusental kronor, med vilka lantbruksstyrelsen för de sist inkomna ansökningarna skulle kunna överskrida anslaget.</w:t>
        <w:br/>
        <w:br/>
        <w:t>Då jag anser synnerligen goda skäl tala för det förslag, som jordbruksutskottet framlagt, ber jag, herr talman, att få yrka bifall till utskottets hemställan.</w:t>
      </w:r>
    </w:p>
    <w:p>
      <w:pPr>
        <w:pStyle w:val="Heading2"/>
      </w:pPr>
      <w:r>
        <w:t>2. Herman Lamm (–, man)</w:t>
      </w:r>
    </w:p>
    <w:p>
      <w:r>
        <w:rPr>
          <w:b w:val="0"/>
        </w:rPr>
        <w:t>Jag skall för min del be att få ansluta mig till reservationen. Jag gör detta icke endast av de skäl, som den ene av reservanterna anfört, utan även ur principiella synpunkter, ur budgettekniska synpunkter. Det förefaller mig ganska egendomligt, att, när Kungl. Maj:t med hänsyn till det önskemål, som så ofta uttalats, att man icke skall överskrida anslag, som beviljas, anser det vara lämpligt att i en fråga som denna göra hemställan till riksdagen om ett förslagsanslag, högst, riksdagen skall ändra på denna punkt. I synnerhet som man under dessa tider vet, huru svag budgeten på grund av omständigheterna ändå måste antagas vara, kan jag icke finna det vara principiellt riktigt, att riksdagen skall ändra på det sätt, som utskottet föreslagit.</w:t>
        <w:br/>
        <w:br/>
        <w:t>De skäl till förmån för utskottets hemställan, som anfördes av den siste talaren, äro sådana som i allmänhet kunna anföras, när man vill en sak, nämligen att här skulle föreligga något särskilt. Var och en förstår, att det är mycket lättare att hålla sig inom ett förslagsanslag utan begränsning än inom ett förslagsanslag, högst. Men det är just en begränsning man vill komma till, när man sätter ordet högst, och jag kan icke anse annat än att denna kammare bör ansluta sig till samma uppfattning, som gjort sig gällande i andra kammaren. I andra kammaren har man</w:t>
        <w:br/>
        <w:br/>
        <w:t>hävdat den grundsatsen, att man icke skall rubba budgeten på detta sätt,</w:t>
        <w:br/>
        <w:br/>
        <w:t>understöd åt ärendet må vara större eller mindre. En av reservanterna har redan an-</w:t>
        <w:br/>
        <w:br/>
        <w:t>fört, att andra kammaren efter en lång debatt antagit rteservanternas förslag med 135 röster mot 66. Bortsett från den omständigheten, att man icke vill hava gemensam votering i denna fråga tycker jag, att första kammaren bör i likhet med andra kammaren i detta fall hävda den princip, som enligt min uppfattning är den riktiga. Jag ber att få yrka bifall till den vid utskottets utlåtande fogade reservationen.</w:t>
      </w:r>
    </w:p>
    <w:p>
      <w:pPr>
        <w:pStyle w:val="Heading2"/>
      </w:pPr>
      <w:r>
        <w:t>3. Carl Boberg (Första kammarens nationella parti, man)</w:t>
      </w:r>
    </w:p>
    <w:p>
      <w:r>
        <w:rPr>
          <w:b w:val="0"/>
        </w:rPr>
        <w:t xml:space="preserve">Herr Hellström, som på hithörande område besitter en grundligare kännedom än de flesta i kammaren, har nyligen anfört så goda och talande skäl för utskottets hemställan, att jag hoppas, att de flesta i denna kammare komma att rösta för bifall till densamma. Men det finnes ännu en synpunkt, som han icke vidrörde, nämligen den, att det för närvarande råder en stor arbetsbrist på det industriella området. Och vi äro väl alla överens om, att från industrien allt flere och flere måste återvända till lantbruket. Men jorden kan icke skötas så, att den giver någonting annat än genom kunskaper, duglighet och idogt arbete och det är meningen att utbilda de unga män och </w:t>
      </w:r>
      <w:r>
        <w:rPr>
          <w:b/>
        </w:rPr>
        <w:t>kvinnor¹</w:t>
      </w:r>
      <w:r>
        <w:rPr>
          <w:b w:val="0"/>
        </w:rPr>
        <w:t>, som gå igenom de skolor, varom här är tal, så, att de sedan av jorden skola kunna få sin näring direkt eller indirekt.</w:t>
        <w:br/>
        <w:br/>
        <w:t>Nu jämställer man dessa skolor med folkhögskolor och säger: vid folkhögskolorna har man bestämda anslag, varför skall man överskrida dem här? Men det är dock någon liten skillnad mellan folkhögskolor och dessa skolor, ty här komma eleverna mera direkt in i det praktiska arbetet. De kunna genom dessa kurser fort nog få tillfälle att skaffa sig platser, utkomst och bröd. De, som gå igenom folkhögskolorna, kunna visserligen göra detsamma. Men de teoretiska kunskaper, de erhålla där, kunna icke så snart och omedelbart omsättas i praktisk handling som de kunskaper kunna göra, som elever i lantbruksskolor förvärva. Jag tror därför, att utskottet haft goda skäl för sin hemställan. Herr greve och talman,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