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1595</w:t>
      </w:r>
    </w:p>
    <w:p>
      <w:r>
        <w:rPr>
          <w:b/>
        </w:rPr>
        <w:t xml:space="preserve">Datum: </w:t>
      </w:r>
      <w:r>
        <w:t>1923-04-10</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Werner Bäckström (Frisinnade folkpartiet, man)</w:t>
      </w:r>
    </w:p>
    <w:p>
      <w:r>
        <w:rPr>
          <w:b w:val="0"/>
        </w:rPr>
        <w:t>Herr förste vice talman! I avseende å föredragningen av detta utlåtande hemställes, att detsamma må företagas till avgörande på det sättet, att till en början föredrages det av utskottet tillstyrkta lagförslaget, där så erfordras, paragrafvis med 3 $ först samt ingress och rubrik sist; att sedan lagförslaget blivit genomgånget utskottets hemställan föredrages; att vid behandlingen av den paragraf, varom först uppstår överläggning, denna må omfatta utlåtandet i dess helhet; samt att lagtexten ej må behöva uppläsas i vidare mån, än sådant av någon kammarens ledamot begäres.</w:t>
        <w:br/>
        <w:br/>
        <w:t xml:space="preserve">Utländsk </w:t>
      </w:r>
      <w:r>
        <w:rPr>
          <w:b/>
        </w:rPr>
        <w:t>kvinna¹</w:t>
      </w:r>
      <w:r>
        <w:rPr>
          <w:b w:val="0"/>
        </w:rPr>
        <w:t xml:space="preserve">, som ingår äktenskap med svensk medborgare, men icke, enligt vad nu sagts, genom giftermålet förvärvar svenskt medborgarskap, blir svensk medborgare, såframt </w:t>
      </w:r>
      <w:r>
        <w:rPr>
          <w:b/>
        </w:rPr>
        <w:t>hon²</w:t>
      </w:r>
      <w:r>
        <w:rPr>
          <w:b w:val="0"/>
        </w:rPr>
        <w:t xml:space="preserve"> under äktenskapets bestånd tager hemvist här i riket eller går sitt utländska medborgarskap förlustig och mannen då fortfarande är svensk medborgare.</w:t>
        <w:br/>
        <w:br/>
        <w:t xml:space="preserve">Hava vid utländsk </w:t>
      </w:r>
      <w:r>
        <w:rPr>
          <w:b/>
        </w:rPr>
        <w:t>kvinnas¹</w:t>
      </w:r>
      <w:r>
        <w:rPr>
          <w:b w:val="0"/>
        </w:rPr>
        <w:t xml:space="preserve"> giftermål med svensk medborgare makarna barn samman före äktenskapet, blir barnet genom giftermålet svensk medborgare, såframt det är ogift och ännu ej fyllt tjuguett år.</w:t>
      </w:r>
    </w:p>
    <w:p>
      <w:pPr>
        <w:pStyle w:val="Heading2"/>
      </w:pPr>
      <w:r>
        <w:t>2. Gustaf Adolf Björkman (Första kammarens nationella parti, man)</w:t>
      </w:r>
    </w:p>
    <w:p>
      <w:r>
        <w:rPr>
          <w:b w:val="0"/>
        </w:rPr>
        <w:t>Herr talman! Sedan detta lagförslag i första kammaren fallit, är det icke anledning att här yttra många ord om detsamma. Då emellertid första kammarens avslag innefattar en begäran om en ny lagstiftning, men därvidlag icke någon motivering föreligger, är det kanske icke utan betydelse, att även här i kammaren sägas några ord till utveckling av de synpunkter, som hava förevarit vid behandlingen av lagförslaget — detta kanske desto mera som Kungl. Maj:t, när det gäller att fatta position, till ett nytt lagförslag, nu bara har att slå sig ned och läsa vad som förekommit i kamrarna, om Kungl. Maj:t vill söka ut, hur stämningen till förslaget varit.</w:t>
        <w:br/>
        <w:br/>
        <w:t>Det är en del fördelar, som lagförslaget givit, som vi uti utskottet ansågo vara så beaktansvärda, att även fastän vi funno det vara en på grund av ärendets natur rätt så tillkrånglad lagstiftning, man ändå måste noga betänka sig, innan man gick till avslag. Av de punkter, som ansetts särskilt viktiga, är det först och främst den, i</w:t>
        <w:br/>
        <w:br/>
        <w:t xml:space="preserve">vilken riksdagen en gång i tiden, för ett tiotal år sedan, begärt att få en lagändring. Det gäller det rätt så abderitiska förhållande, som går under namn av tioårslagen, d. v. s. att — om ej en viss förklaring göres — efter uppnådda 21 år en person blir utan sitt svenska medborgarskap, därest han eller </w:t>
      </w:r>
      <w:r>
        <w:rPr>
          <w:b/>
        </w:rPr>
        <w:t>hon²</w:t>
      </w:r>
      <w:r>
        <w:rPr>
          <w:b w:val="0"/>
        </w:rPr>
        <w:t xml:space="preserve"> under tio år oavbrutet vistats utom landet. Detta var särskilt för svenskamerikanarna mycket litet tacknämligt, och det ströks kraftigt under i riksdagsskrivelsen, att här måste en lagändring ske. En sådan ändring har nu skett i lagförslaget, och denna ändring behöver jag icke närmare ingå på här. Ty i avseende på utskottets sätt att behandla Kungl. Maj:ts proposition äro alla ense, och det lärer vid behandlingen i första kammaren icke ha väckts några betänkligheter i denna del.</w:t>
        <w:br/>
        <w:br/>
        <w:t>Vidare hava klara linjer vunnits i avseende å naturalisationsbestämmelserna. Det har visserligen varit i viss mån olika meningar inom utskottet, men mot den mening, som sedermera kristalliserats fram 1 utskottsförslaget med avseende å de rena naturalisationsreglerna, torde det verkligen icke vara anledning att erinra mycket. Vi, ett antal reservanter, ha dock funnit, att det borde vara så, att det efter naturalisationen funnes någon solennare form, som angav, att vederbörande blivit svensk medborgare med skyldigheter och rättigheter, och som fastslog tidpunkten därför. Det är vad vi innefatta i kravet på »trohetslöfte». Därom fanns en bestämmelse redan i det svenska förslag, som uppgjordes under förhandlingarna med de övriga skandinaviska delegerade, ehuru Kungl. Maj:t i propositionen ej upptagit denna.</w:t>
        <w:br/>
        <w:br/>
        <w:t xml:space="preserve">Sedan ha vi ytterligare en bestämmelse, vilken med allt fog </w:t>
      </w:r>
      <w:r>
        <w:rPr>
          <w:b/>
        </w:rPr>
        <w:t>kvinnosidan¹</w:t>
      </w:r>
      <w:r>
        <w:rPr>
          <w:b w:val="0"/>
        </w:rPr>
        <w:t xml:space="preserve"> fäster stort avseende vid, och som Fredrika-Bremerförbundet har understrukit betydelsen av. Den innehålles i lagförslagets 8 $ och går i realiteten ut på, att en svenska, som gifter sig med en utlänning, får, om </w:t>
      </w:r>
      <w:r>
        <w:rPr>
          <w:b/>
        </w:rPr>
        <w:t>hon²</w:t>
      </w:r>
      <w:r>
        <w:rPr>
          <w:b w:val="0"/>
        </w:rPr>
        <w:t xml:space="preserve"> stannar kvar i landet, behålla sin svenska medborgarrätt och de fördelar, som med densamma äro knutna. Det kan synas eget, att man gör en sådan bestämmelse med avseende å en svenska, som gifter sig med en utländsk man, utan att vilja ha reciprocitet, så att motsvarande bestämmelser skulle bli gällande för en utländska som gifter sig med en svensk. Här har nämligen Kungl. Maj:t ställt sig helt på den gamla ståndpunkten, d. v. s. Kungl. Maj:t har ansett, att en utländska, som gifter sig med en svensk, därigenom vinner svenskt medborgarskap. Det har under behandlingen av ärendet i dessa delar erinrats, att lagstiftningen på </w:t>
      </w:r>
      <w:r>
        <w:rPr>
          <w:b/>
        </w:rPr>
        <w:t>kvinnans¹</w:t>
      </w:r>
      <w:r>
        <w:rPr>
          <w:b w:val="0"/>
        </w:rPr>
        <w:t xml:space="preserve"> område -— om jag så må säga — dock gått på den linjen, att </w:t>
      </w:r>
      <w:r>
        <w:rPr>
          <w:b/>
        </w:rPr>
        <w:t>kvinnan¹</w:t>
      </w:r>
      <w:r>
        <w:rPr>
          <w:b w:val="0"/>
        </w:rPr>
        <w:t xml:space="preserve"> värderas såsom särskild person och icke såsom biperson, och att då borde kunna fordras, att även i medborgarrättshänseende detta skulle iakttagas. Däremot har emellertid anmärkts, att de gamla av Kungl. Maj:t och av oss reservanter upptagna bestämmelserna ännu så länge torde ha sin fulla bärkraft, och att under en tid, då icke motsvarande lagbestämmelser i det stora hela finnas i världen, det icke vore lämpligt, att vi i Sverige införde något annat. Dessutom har inom utskottet påpekats, att det visst icke är enbart till </w:t>
      </w:r>
      <w:r>
        <w:rPr>
          <w:b/>
        </w:rPr>
        <w:t>kvinnans¹</w:t>
      </w:r>
      <w:r>
        <w:rPr>
          <w:b w:val="0"/>
        </w:rPr>
        <w:t xml:space="preserve"> fördel. om </w:t>
      </w:r>
      <w:r>
        <w:rPr>
          <w:b/>
        </w:rPr>
        <w:t>hon²</w:t>
      </w:r>
      <w:r>
        <w:rPr>
          <w:b w:val="0"/>
        </w:rPr>
        <w:t xml:space="preserve"> behåller sitt utländska medbor-</w:t>
        <w:br/>
        <w:br/>
        <w:t xml:space="preserve">garskap. Tvärtom! Det kan påvisas, att det för </w:t>
      </w:r>
      <w:r>
        <w:rPr>
          <w:b/>
        </w:rPr>
        <w:t>henne²</w:t>
      </w:r>
      <w:r>
        <w:rPr>
          <w:b w:val="0"/>
        </w:rPr>
        <w:t xml:space="preserve"> är synnerligen värdefullt att, när </w:t>
      </w:r>
      <w:r>
        <w:rPr>
          <w:b/>
        </w:rPr>
        <w:t>hon²</w:t>
      </w:r>
      <w:r>
        <w:rPr>
          <w:b w:val="0"/>
        </w:rPr>
        <w:t xml:space="preserve"> gifter sig med en svensk, erhålla svenskt medborgarskap och alla de förmåner, som därmed äro förenade.</w:t>
        <w:br/>
        <w:br/>
        <w:t xml:space="preserve">Jag har här i handen en liten P. M., som jag föredrog i utskottet och vilken angiver särskilda lagar och förordningar, som ställa en utländsk medborgare i bestämt sämre ställning i Sverige, än om vederbörande vore svensk medborgare. Jag vill icke i denna del alltför noga gå in i några detaljer utan endast erinra, att från den stund, en utlänning kommer till den svenska hamnen Trelleborg, blir det helt andra bestämmelser gällande för honom än för svenska medborgarna. Det är genast uppsikt och pass och sedermera mötes den utländska medborgaren av en hel del inskränkande lagbestämmelser, som icke träffa en svensk medborgare. Ja, jag vill blott erinra i fråga om förvärvsmöjligheten, att det finns bestämmelser, som säga, att en utländsk medborgare icke har rätt till det eller det. Det finns bestämmelser, som kringskära den utländske medborgarens rättigheter, och detär icke utan vikt att veta, att om det i ekonomiskt hänseende skulle gå olyckligt för en svensk man, han genom att få sin svenska </w:t>
      </w:r>
      <w:r>
        <w:rPr>
          <w:b/>
        </w:rPr>
        <w:t>hustru²</w:t>
      </w:r>
      <w:r>
        <w:rPr>
          <w:b w:val="0"/>
        </w:rPr>
        <w:t xml:space="preserve"> till hjälp kan utan svårighet bilda ett nytt bolag, bilda en ny affär och därigenom få in i affären, icke någon till äventyrs i framtiden konkurrerande kompanjon utan den, som med honom delar ansvaret för familjen. Det är vidare en hel del lättnader, som finnas för en svensk medborgare i rättegångshänseende. Det finns fri rättegång, som utan vidare står den svenska men väl icke den utländska medborgaren till buds. Det finns skyldighet att i rättegång ställa borgen för kostnad eller skada, som åvilar en utlänning men icke en svensk medborgare. Vidare har den svenska medborgaren en hel del fördelar, som följd av att vårt land i socialt hänseende är ett föregångsland. Jag vill blott nämna t. ex. vad som gäller beträffande allmän pensionsförsäkring och olycksfallsförsäkring etc; och dessutom, och det icke minst viktiga, i skattehänseende. Den svenska medborgaren får lättnader, som en utlänning icke får. Vad jag nu anfört gäller ju i huvudsak om kravet på </w:t>
      </w:r>
      <w:r>
        <w:rPr>
          <w:b/>
        </w:rPr>
        <w:t>kvinnans¹</w:t>
      </w:r>
      <w:r>
        <w:rPr>
          <w:b w:val="0"/>
        </w:rPr>
        <w:t xml:space="preserve"> självständighet i medborgarskapshänseende fullt skulle bli gällande. Men vi ha i vår reservation även sökt påvisa, hurusom även utskottets modifierade förslag skulle för </w:t>
      </w:r>
      <w:r>
        <w:rPr>
          <w:b/>
        </w:rPr>
        <w:t>hustrun²</w:t>
      </w:r>
      <w:r>
        <w:rPr>
          <w:b w:val="0"/>
        </w:rPr>
        <w:t xml:space="preserve"> och familjen medföra betydande svårigheter. Vi hava i allt velat hävda de svenska synpunkterna.</w:t>
        <w:br/>
        <w:br/>
        <w:t xml:space="preserve">Nu kan mot vår åskådning invändas, att det går så lätt att få naturalisation. Ja, det är mycket lätt att säga, att möjlighet kan yppas härvidlag, men det skall säkerligen i realiteten visa sig att vederbörande ej komma att begagna sig av densamma, utan frågan blir nog akut först en gång, när det kritiska tillfället kommer, att vederbörande behöver visa, att </w:t>
      </w:r>
      <w:r>
        <w:rPr>
          <w:b/>
        </w:rPr>
        <w:t>hon²</w:t>
      </w:r>
      <w:r>
        <w:rPr>
          <w:b w:val="0"/>
        </w:rPr>
        <w:t xml:space="preserve"> är svensk medborgare, och då är kanske redan tiden försutten. Det kan vara en lång omväg, innan vederbörande kunna vinna sitt mål. Det är därför, som vi ansågo, att man icke kunde gå den väg, som i detta fall lagrådet förordat, och ej heller så långt, som utskottsmajoriteten gått, utan vi reservanter hålla på att man i detta fall skall försöka upprätthålla enhet</w:t>
        <w:br/>
        <w:br/>
        <w:t xml:space="preserve">mellan makar i medborgarskapshänseende, och vi hava velat att de förmåner, som en svensk </w:t>
      </w:r>
      <w:r>
        <w:rPr>
          <w:b/>
        </w:rPr>
        <w:t>kvinna¹</w:t>
      </w:r>
      <w:r>
        <w:rPr>
          <w:b w:val="0"/>
        </w:rPr>
        <w:t xml:space="preserve"> har, skall också den erhålla, som gift sig med en svensk medborgare.</w:t>
        <w:br/>
        <w:br/>
        <w:t>Det är nu alldeles givet, att i det stadium, som denna fråga ligger, det icke tjänar mycket till att, då man i stort sett vill uttala sin anslutning till utskottets förslag, likväl komma fram med några särskilda yrkanden. Icke heller är lämpligt att söka få upp någon diskussion paragrafvis. Det är därför med viss tvekan, som man undrar, huruvida man i detta fall skall framställa något visst yrkande eller icke, men då jag i varje fall anser det vara av vikt, att det icke synes, som om man frånfallit den åsikt, man hade inom utskottet, vill jag med avseende på 3 $, herr talman, dock yrka bifall till den reservation, som vid punkten är fogad av herr Clason m. fl. och till vilken jag i utskottet anslutit mig.</w:t>
        <w:br/>
        <w:br/>
        <w:t xml:space="preserve">Jag vill slutligen uttrycka det önskemålet, att det lagförslag, som man får att behandla, sedan förslaget nu fallit, icke måtte dröja alltför länge, och detta särskilt därför att i avseende å tioårslagen är nödvändigt, att någonting sker, och dessutom därför, att de bestämmelser, som nu äro upptagna i lagförslagets 8 $, och som i viktiga hänseenden skydda den svenska </w:t>
      </w:r>
      <w:r>
        <w:rPr>
          <w:b/>
        </w:rPr>
        <w:t>kvinna¹</w:t>
      </w:r>
      <w:r>
        <w:rPr>
          <w:b w:val="0"/>
        </w:rPr>
        <w:t>, som gifter sig med en utlänning, äro alltför betydelsefulla för att de icke snart skola få lags karaktär.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1595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