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1599</w:t>
      </w:r>
    </w:p>
    <w:p>
      <w:r>
        <w:rPr>
          <w:b/>
        </w:rPr>
        <w:t xml:space="preserve">Datum: </w:t>
      </w:r>
      <w:r>
        <w:t>1923-05-02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Det var sannolikt flera av kammarens ledamöter än jag, som när hans excellens herr statsministern hade gjort sin deklaration, ställde den mot bakgrunden av socialministerns föregående deklaration och gjorde sig den frågan, huru de herrar av den nuvarande regeringen, som med sina ämbeten också förena riksdagsmannaskap, skola komma att ställa sig i den stundande voteringen i denna fråga. När man ser på den av herr Lindman framburna motionen, som utmynnar i yrkandet att denna lagstiftning icke bör förlängas vare sig provisoriskt eller definitivt, finner man bland namnen under densamma t. ex. den nuvarande kommunikationsministern och den nuvarande jordbruksministern. Det är ju ett delikat ämne, som skulle kunna giva anledning även det till teoretiska utläggningar av det slag, som hans excellens statsministern var inne på. Men den praktiska sida av spörsmålet, som intresserar, är väl närmast, huruvida man inom regeringen har för avsikt att i voteringen desavuera hans excellens herr statsministern eller desavuera herr statsrådet och chefen för scoialdepartementet, eller om man till äventyrs löser konflikten på det enkla sättet, att man delar upp sig och röstar en del med den ene och en del med den andre för att rädda regeringens prestige i denna fråga.</w:t>
        <w:br/>
        <w:br/>
        <w:t>När hans excellens herr statsministern gjorde sin deklaration, kom jag att tänka på en annan, samtida politisk gestalt, som i mångt och mycket erinrar om herr statsministern och som också han har haft att göra med den fråga, som här föreligger i dag. Det är den nuvarande konseljpresidenten i Italien, herr Mussolini. Före sitt statsministerskap uttalade han sitt bestämda fördömande av 8-timmarsdagen, som han betecknade som en olycka för Italiens folk och näringsliv. Vad händer? Nu sitter Mussolini som Italiens konseljpresident. Han har utfärdat ett dekret om 8-timmars arbetsdag inom industri, handel och vissa delar av jordbruket; men icke nog därmed, han har — och jag är ledsen att hans excellens herr statsministern inte är inne för ögonblicket — förelagt det italienska parlamentet till ratifikation Washingtonöverenskommelsen angående 8 timmars</w:t>
        <w:br/>
        <w:br/>
        <w:t xml:space="preserve">klarationen i kammaren i dag, visar att män burna av denna gemensamma åskådning, som den italienske och den svenske statsministern, finna, när de ställas inför förhållandena, att den tidigare ståndpunkten, karskt och kärvt driven, som ju den alltid varit i medkammaren här hemma, får </w:t>
      </w:r>
      <w:r>
        <w:rPr>
          <w:b/>
        </w:rPr>
        <w:t>maka³</w:t>
      </w:r>
      <w:r>
        <w:rPr>
          <w:b w:val="0"/>
        </w:rPr>
        <w:t xml:space="preserve"> på sig till förmån för andra synpunkter. Jag erinrar herrarna om, att det var inte längre sedan än vid behandlingen av arbetslöshetsdirektiven i dess första avgörande batalj i första kammaren, som herr Trygger betonade, att enligt hans uppfattning 8-timmarsdagen var själva källan och upphovet till det rådande nödläget, enkannerligen arbetslösheten. Man skulle tro, att när den ärade talaren, besjälad av en dylik uppfattning, något senare i samma anförande vände sig till första kammarens talman med ungefär följande ord: Herr greve och talman! Ni har varit i denna kammare länge liksom jag. Kan ni erinra er, att första kammarens högerparti har någonsin fyllts av rädsla för något annat än att svika sin övertygelse om vad som gagnar fosterlandet? — det var ett stolt och förpliktande statsmannaord, och det var tydligt, att det imponerade där inne på förstakammarhögern. Men när man hör dagens deklaration av hans excellens herr statsministern, så tar man sig en liten funderare: Vart har den oerhörda vördnaden för fosterlandet, vart har rädslan för att handla så, att man skulle svika sin plikt mot fosterlandet, nu tagit vägen? Nu är den med ens bortblåst, ja, så fullständigt bortblåst, att det för den man, som sitter som andra lagutskottets ordförande och som är känd för att vara en första kammarens ÅAristides, tedde sig nödvändigt att i ett anförande för en stund sedan i medkammaren säga rent ut, att detta är ett system, som står på gränsen till regeringslöshet. Ordet var kanske hårt, men jag undrar, om det inte låg en bister sanning i detsamma, och jag undrar, om inte herr Reuterskiöld hade ganska rätt, när han i sitt anförande strök under, att — som han sade när vi hade den socialdemokratiska regeringen skulle han knappast hava vågat rösta för ett sådant förslag som det föreliggande utskottsförslaget. Ty då var det en regering, så föllo orden, som kunde regera, medan den nuvarande regeringen genom sin chef har förklarat, att den i denna för landet så betydelsefulla vitala fråga har för avsikt att intaga den passive åskådarens och expeditörens roll. Ja, jag skulle tro, att även det omdömet har åtskilligt fog för sig. Ty nog måste jag säga för min del, att när jag hörde hans excellens herr statsministern söka bemöta de invändningar, som i det avseendet rests av den ärade talaren för det liberala partiet på Stockholmsbänken, då tedde det sig för mig som ett ganska djärvt försök att gå på sidan om allt vad saken gällde. Jag vill för min del icke ett ögonblick bli utsatt för misstanken att vilja bidraga till de många komplimanger, av vilka hans excellens herr statsministern började känna sig en smula besvärad, men icke förty synes det mig ändå berättigat säga, att hans excellens herr statsministern till sina många och stora förtjänster som den gode juristen även kan lägga till förtjänsten att vara en smula anhängare av den åskådning, som en gång i världen gick under</w:t>
        <w:br/>
        <w:br/>
        <w:t>namnet sofistiken och om vilken det plägar förtäljas, att dess utmärkande kännetecken var att söka göra det svaga argumentet till det starka. Ty den manövreringskonst, hans excellens herr statsministern i sitt anförande gav prov på, var just av detta slag. Vad som var anmärkningens kärnpunkt, nämligen detta huru det är möjligt, att en regering, som till på köpet vill gälla som en riksregering och som väl därför också vill göra anspråk på att vara en stark regering, hur det kan vara möjligt, säger jag, att en slik regering i en fråga sådan som denna, där dessutom regeringens chef ju gång på gång har tagit så omfattande engagemang, ställer sig alldeles utanför och bara expedierar ärendet och betraktar sitt befattningstagande därmed såsom endast formellt, den kärnpunkten glider man inte förbi genom att ge repliken: Jag vill inte som god jurist, att formen skall få gälla för mera än innehållet! För övrigt underströk hans excellens herr statsministern att han här ville föra sin politik i denna fråga med hänsyn till vad han ansåg vara möjligt och framkomligt under de nuvarande förhållandena. När herrarna togo del av den nuvarande regeringens deklaration, funno herrarna, att det skulle bli en försvarsfrågans regering. Jag förmodar, att hans excellens herr statsministern, när han går till lösandet av denna regeringens huvudfråga, kommer att följa samma grundsats som han följt här i dag, nämligen att söka rätta sig efter vad riksdagens flertal kan vilja. Men, mina herrar, inför anblicken av hans excellens” uppträdande i dag samt hans förklaring mot bakgrunden av den patetiska försäkran för någon tid sedan, att endast rädslan för pliktförsummelse gent emot fosterlandet kunde förmå högern att handla på visst sätt, så vill jag fråga: Hur skall det ej te sig den dagen, då landets försvarsfråga föreligger, och hans excellens herr statsministern kanske förelägger kammaren ett förslag, som är beräknat, inte med avseende på vad fosterlandet kräver, inte med avseende på vad hans excellens herr statsministern anser vara det riktiga, utan efter en anpassning till rådande parlamentariska förhållanden?</w:t>
        <w:br/>
        <w:br/>
        <w:t>Jag undrar, om högerns ärade ledare där nere på Stockholmsbänken, som har ordet efter mig, skulle vilja vara villig tala om för kammaren, huruvida och i vad mån han anser den regeringspraxis, som har inletts av den nya högerregeringen, står i överensstämmelse med den, som han följde under den tid, han med den äran förde statsministerskapets runor i detta land. Jag misstänker, att andrakammarhögerns ledare känner sig en smula konsternerad över att se den, som tapprare än någon annan i medkammaren trätt inom skrankorna för just de synpunkter, som utvecklats i hans motion, nu med ens överge honom och övergå på den andra linjen. Det börjar synas, som om regeringssystemet blir något underligt, och jag har för mig själv gjort den reflexionen, att kanske stå vi inför en kris i regeringsförhållandena, kanske är det så, att det blir vissa regeringar, som rent av kunna lånas av de olika partierna, så att de vid olika tillfällen och under olika förhållanden kunna tjänstgöra som regering i dag åt herr Lindman, i morgon åt herr Branting, i övermorgon åt herr Edén, dagen därpå åt herr Nilsson i Vibberbo och</w:t>
        <w:br/>
        <w:br/>
        <w:t>kanske en annan dag åt herr Kilbom! Jag skulle tro, att med hela den åskådning, som vår höger drivit i många år med kravet på den</w:t>
        <w:br/>
        <w:br/>
        <w:t>starka regeringsmakten, med kravet på att en regering inte skall vara</w:t>
        <w:br/>
        <w:br/>
        <w:t>bara en expedierande myndighet utan en verkligen regerande myndighet, så äro de vägar, som beträtts i dag av hans excellens herr statsministern, ganska äventyrliga.</w:t>
        <w:br/>
        <w:br/>
        <w:t>Ja, herr talman, det är till dessa reflexioner jag för min del frestats i dag och för vilka jag velat ge ett uttryck. Jag ber för övrigt få förena mig med dem, som yrkat bifall till den socialdemokratiska reservationen.</w:t>
      </w:r>
    </w:p>
    <w:p>
      <w:pPr>
        <w:pStyle w:val="Heading2"/>
      </w:pPr>
      <w:r>
        <w:t>2. Arvid Lindman (Högerns riksdagsgrupp, man)</w:t>
      </w:r>
    </w:p>
    <w:p>
      <w:r>
        <w:rPr>
          <w:b w:val="0"/>
        </w:rPr>
        <w:t>Herr talman! Jag skall be att få säga några ord, först med anledning av ett yttrande på förmiddagen av herr Johanson i Stockholm, däri han gjorde en del ganska grava anmärkningar mot uttalanden jag hade haft i ett tidigare anförande.</w:t>
        <w:br/>
        <w:br/>
        <w:t>Herr Johanson talade om, att jag i mitt meddelande beträffande den utländska lagstiftningen på detta område, inte hade lämnat uppgifter, som voro alldeles riktiga. Detta skulle särskilt gälla Förenta staterna. Jag skall då be att få påpeka, att det i Förenta staterna icke existerar någon allmän förbundslag om 8 timmars arbetsdag. Det är verkligen på det sättet. Det finns visserligen en lag, en förbundslag om 8 timmars dag, men den gäller bara för arbete i statens tjänst, icke för något annat. Det finns visserligen lag i nio stater i Amerika, som reglerar arbetstiden till 8 timmar. I den lagen finns emellertid föreskrivet, att avtal kan bryta bestämmelsen. Man kan sålunda avtala bort bestämmelsen om åtta timmar. Jag tror således, att man knappast kan säga, att det meddelande, som jag i det fallet lämnat, icke varit riktigt. Över huvud är det i Amerika så, att man praktiskt taget icke kan tala om åtta timmars arbetsdag, utan där är arbetstiden i regel mycket längre än åtta timmar.</w:t>
        <w:br/>
        <w:br/>
        <w:t>Sedan gjordes det anmärkning från olika håll, däribland även av herr Edén, mot vad jag yttrade om förhållandena i Schweiz. Beträffande Schweiz vill jag säga, att där har man ju infört bestämmelsen om åtta timmar i den s. k. fabriksskyddslagen. I denna fanns också en bestämmelse om att man kunde utsträcka arbetstiden till 52 timmar i veckan, när viktiga skäl betingade en sådan anordning. Det förslag, som nu är framlagt, går ut på att man skall kunna höja den ytterligare till 54 timmar, när allvarliga ekonomiska förhållanden påfordra sådant; och denna bestämmelse, som är föreslagen av regeringen, har behandlats i staternas råd, d. v. s. närmast motsvarande första kammaren här, och det har där blivit antaget med 26 röster mot 1. Även i nationalrådet, d. v. s. vår andra kammare, har det gått igenom med 85 röster mot 47. Det tyder i alla fall på en ganska väsentlig uppmjukning eller uppluckring av denna arbetstidslag.</w:t>
        <w:br/>
        <w:br/>
        <w:t>Slutligen vill jag beträffande Holland säga, att i ej mindre än tio industrier arbetar man med en tid av 56 timmar i veckan.</w:t>
        <w:br/>
        <w:br/>
        <w:t>Jag skall gå förbi en del andra saker, som jag tänkt beröra. Det är kanske icke mycket värt för oss att vidare gå in på åttatimmars-</w:t>
        <w:br/>
        <w:br/>
        <w:t>dagen. Jag hörde vad hans excellens herr statsministern talade, och Ang. lag om</w:t>
        <w:br/>
        <w:br/>
        <w:t>det behöver jag icke upprepa, rörande 48 artikeln i Versailles-freden.</w:t>
        <w:br/>
        <w:br/>
        <w:t>Herr Edén frågade, om det funnes någon anledning för mig att framdraga vissa yttranden från 1919. Nej, man kan ju säga, att det icke finnes någon sådan anledning, men å andra sidan är det alltid för mig av ett mycket stort intresse, när jag bedömer en fråga som den här föreliggande, att rekapitulera, hur man då såg på saken, och anledningen till att man lade fram ett förslag. När jag gjorde detta 1 går och studerade litet i riksdagens protokoll och i de kungl. propositionerna vid lagtima och urtima riksdagarna 1919, fann jag en del yttranden, som alls icke blivit infriade av utvecklingen, som gått i rätt olika riktning nu mot vad Kungl. Maj:t då antog. Att jag särskilt fäste mig vid ett yttrande av den dåvarande civilministern, berodde därpå, att han avlämnat propositionen. Han stod för den så att säga, och han uttalade bland mycket annat det som jag nyss anfört. Det yttrandet fanns i propositionen, och jag förundrade mig rätt mycket när jag hörde herr Edén säga, att det blott var civilministerns eget yttrande. Jag trodde, att det var regeringens yttrande, som kommit i propositionen; åtminstone brukade det vara det på den tiden, då jag hade med dylika frågor att göra, för så vitt det icke var en reservation, som avgavs, vilket knappast förekom på den tiden. Jag skulle naturligtvis, om jag ville, kunna draga fram herr Edéns egna yttranden ur protokollen. De ligga på bordet, men Jag vill icke besvära kammaren därmed. De visa, att man sett saken på litet annorlunda vis vid olika tidpunkter. Det kanske här kan tillämpas ett uttryck, som herr Edén själv nyss fällde, nämligen att en sak kan se ut på olika sätt från regeringsbänken och nere i kammaren.</w:t>
        <w:br/>
        <w:br/>
        <w:t>Med anledning av herr Engbergs yttrande vill jag säga att jag icke behöver gå in på hans excellens herr statsministerns yttrande, ty han svarar för sig själv. Han har ju, som kammaren själv hört, givit ett svar på den saken.</w:t>
        <w:br/>
        <w:br/>
        <w:t>Jag undrar möjligen, om icke detta yttrande från herr Engberg kan vara framkallat till en viss grad av någon missbelåtenhet eller missräkning över att utvecklingen varit sådan den varit under sista tiden.</w:t>
        <w:br/>
        <w:br/>
        <w:t>Förr i tiden brukade icke de gamla gudarna alltid sitta stilla och regera i sin Olymp, utan emellanåt iklädde de sig människors skepnad och stego ned från Olympen till dessa för att skrämma dem eller för att söka intala dem någonting, huru dåliga de voro och även huru bra somliga voro. Vi här uppe i Norden ha också haft gudar. Jag tänker icke särskilt på våra gudar uti Asgård, Oden och Tor, utan jag tänker nu särskilt på de sista gudarna i kanslihuset. Icke Oden och Tor utan Branting och Thorsson. De hava upphört att vara gudar nu och stigit ned bland människorna för att skrämma dem och framhålla sina synpunkter för dem, sådana de omfattade dessa, när de själva sutto i sin Olymp.</w:t>
        <w:br/>
        <w:br/>
        <w:t>Uti Asgård hade våra gamla gudar också en väktare, en s. k. rytare, som på den tiden hette Heimdall och som blåste i ett horn,</w:t>
        <w:br/>
        <w:br/>
        <w:t xml:space="preserve">rytare. Han bar det mera moderna namnet Engberg. Han ryter emellanåt i kammaren och emellanåt i sin tidning; och allt detta är naturligtvis till för att imponera på människorna. Det är gudarnas utsände, som söker skrämma oss. Jag skulle i detta sammanhang vilja säga något som jag hörde på en kommunalstämma, vilken jag en gång bevistade. Där var en man som hade stor pondus och som brukade skrämma bönderna, för att få sin vilja fram. Det var i Hälsingland, herr Engberg, på vår </w:t>
      </w:r>
      <w:r>
        <w:rPr>
          <w:b/>
        </w:rPr>
        <w:t>mammas²</w:t>
      </w:r>
      <w:r>
        <w:rPr>
          <w:b w:val="0"/>
        </w:rPr>
        <w:t xml:space="preserve"> gata. Han sökte skrämma dem, dessa bönder och lantmän, och han röt och talade mycket kraftigt och hårt. Men när han en gång gjort det, steg en gammal bonde upp och sade: »Tore har dönat förr, utan att </w:t>
      </w:r>
      <w:r>
        <w:rPr>
          <w:b/>
        </w:rPr>
        <w:t>hon²</w:t>
      </w:r>
      <w:r>
        <w:rPr>
          <w:b w:val="0"/>
        </w:rPr>
        <w:t xml:space="preserve"> har slagit ned»; sade och satte sig! Herr talman, det gör jag med.</w:t>
      </w:r>
    </w:p>
    <w:p>
      <w:pPr>
        <w:pStyle w:val="Heading2"/>
      </w:pPr>
      <w:r>
        <w:t>3. Oscar Lövgren (Socialdemokratiska vänstergruppen, man)</w:t>
      </w:r>
    </w:p>
    <w:p>
      <w:r>
        <w:rPr>
          <w:b w:val="0"/>
        </w:rPr>
        <w:t>Fåfängt, fåfängt spjärnar den svenska reaktionen mot normalarbetsdagen, lika fåfängt som högern i varje avancerat industriland gör det. Trots allt vad herrarna skrika är det likväl ett faktum, att normalarbetsdagen går från seger till seger. Det kan hända, att det icke sker efter samma linjer i alla länder, men att det sker, det är ändå ett faktum. I varje avancerat industriland har den hållit sitt intåg på det ena eller det andra sättet, antingen genom överenskommelse mellan de bägge intresserade parterna eller också på lagstiftningens väg såsom hos oss, eller ock slutligen genom en regeringshandling såsom i Italien. Herr Lindman, vad betyder det nu, när regeringschefen i Italien, som väl är högerns idol framför andra, när han genom en regeringshandling inför normalarbetsdagen? Jo, det betyder, att det är ett erkännande utav att den organiserade arbetarevärlden har inom de moderna samhällena en sådan maktställning, att ingen regering kan sitta, som icke godkänner denna, som icke de facto godkänner den. Om än hans excellens herr statsministern i dag i ett väl format anförande framfört sina principiella invändningar mot lagen, kommer han likväl till ett slut som de facto säger: »Jag kan icke gå emot den, jag måste tåla den, sedan den en gång är ett faktum.» Att normalarbetsdagen blivit ett faktum, för den skull hava världens arbetare gått i en hård skola och lärt sig solidaritet, solidaritet som klass, vilket icke behöver betyda detsamma som illojalitet mot samhället utan mycket väl kan förenas med solidaritet med samhället.</w:t>
        <w:br/>
        <w:br/>
        <w:t>Herr Trygger säger i sitt anförande, att han redan i andanom kan se, när Sveriges arbetare själva begära normalarbetsdagens upphävande. När herr Trygger säger det, kommer jag att tänka på den gamla satsen: Saliga äro de enfaldiga. Utvecklingen går icke i den riktningen men väl tvärtom. Lång arbetstid betyder icke höjd levnadsstandard. Låt mig göra en kort erinran. För tre årtionden sedan arbetade man inom sågverksindustrien från kl. 6 på morgonen till kl. 9 på kvällen. Betydde det en hög levnadsstandard? Nej, det betydde, att man lade grund till den oerhörda tuberkulos, som ännu i dag råder i Norrbotten. För tre årtionden sedan tog man in barnen vid sex års ålder i sågverksindustrien; jag kom själv</w:t>
        <w:br/>
        <w:br/>
        <w:t xml:space="preserve">in vid denna ålder. Betydde det en hög levnadsstandard? Nej, det Ang. lag om gjorde det icke. För tre årtionden sedan arbetade </w:t>
      </w:r>
      <w:r>
        <w:rPr>
          <w:b/>
        </w:rPr>
        <w:t>kvinnorna¹</w:t>
      </w:r>
      <w:r>
        <w:rPr>
          <w:b w:val="0"/>
        </w:rPr>
        <w:t xml:space="preserve"> i tolv gorbetelidena timmars skift, den ena veckan på natten och den andra på dagen, "Rex 1 tolvtimmarsskift avbrutna av 2 korta raster för intagande av mål- ” tid. Var det en hög levnadsstandard den tiden? Nej, herr Trygger, det var så långt ifrån en hög levnadsstandard, att den med säkerhet icke gick upp till hälften av den, som råder i dag. Skulle nu en längre arbetstid i de stora industrierna betyda en hög levnadsstandard? Nej, det skulle betyda arbetslöshet för ett större antal arbetare än dem, som nu äro arbetslösa. Det skulle betyda, att företagens ägare toge in en större del av vinsten från företagen än vad de nu göra. Normalarbetsdagen är i dag icke fullkomlig. Den är behäftad med väsentliga brister, i synnerhet som så stora grupper äro undantagna från dess tillämpning, som nu är förhållandet. Men lika säkert som att arbetstidslagen av i dag är ett framsteg och betyder en högre levnadsstandard för Sveriges arbetare än för tre årtionden sedan, lika säkert är också, att normalarbetsdagen skall förbättras och icke försämras, något som man strävar till på borgerligt håll. Var och en är tvungen att erkänna, att antingen på det ena eller det andra sättet lyckas världens industriarbetare tvinga fram en förkortning av sin arbetstid. Denna förkortning hava vi råd till, därför att den maskinella och tekniska utvecklingen gått framåt under de senaste årtiondena. Frågan är blott, i huru hög grad vi skola diskontera till arbetarnas fördel den förbättring av den maskinella tekniken, som nu inträtt. Lika säkert som att de förhållanden, som råda i dag, innebära en förbättring i jämförelse med förhållandena för tre årtionden sedan, lika säkert är, att arbetarna genom sin solidaritet och sina organisationer komma att antingen på lagstiftningens väg eller också på överenskommelsens väg förbättra och ytterligare utbygga denna normalarbetsdag, till dess densamma motsvarar deras intressen.</w:t>
        <w:br/>
        <w:br/>
        <w:t>Fåfängt är det som man spjärnar emot, och herr Trygger kan var säker på, att han aldrig kommer att uppleva den dag, då Sveriges arbetare komma att begära normalarbetsdagens upphävande. Så mycket hava vi hittills vunnit med våra organisationer, att vi kunna deltaga i samhällets skötsel på ett helt annat sätt än för tre årtionden sedan. TI kraft av de vinster, som vi redan inhöstat, komma vi att inhösta flera. Världen går icke tillbaka, vare sig det sitter en Trygger-regering eller någon annan regering. Ja, herr talman, jag ber att få yrka bifall till herr Linders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