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465</w:t>
      </w:r>
    </w:p>
    <w:p>
      <w:r>
        <w:rPr>
          <w:b/>
        </w:rPr>
        <w:t xml:space="preserve">Datum: </w:t>
      </w:r>
      <w:r>
        <w:t>1924-03-13</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Halfred von Koch (–, man)</w:t>
      </w:r>
    </w:p>
    <w:p>
      <w:r>
        <w:rPr>
          <w:b w:val="0"/>
        </w:rPr>
        <w:t>Herr vice talman, mina herrar! Jag har tillåtit mig att begära ordet vid denna punkt för att ett ögonblick söka belysa den ganska viktiga frågan, 1 vilken mån staten bör understödja enskilda föreningar, som utöva en för samhället nyttig verksamhet. Jag antager, att alla äro överens om, att det finnes sådana föreningar, vilka äro nyttiga och utföra ett arbete, som staten och landstingens organisationer måhända icke lämpligen kunna utföra. Men frågan är emellertid vilka föreningar, som böra komma i åtnjutande av statsunderstöd. För min egen del skulle jag vilja säga, att understöden böra tillkomma först och främst dem, som utöva en från samhällets synpunkt nyttig verksamhet. Dessutom tror jag, att det är liksom underförstått, att om en förening får den uppmuntran, som ett statsunderstöd i alla avseenden innebär, skall den ställa sig till förfogande, när det gäller att för samhället utöva en särskilt svår och viktig uppgift. Detta är naturligtvis icke någon laglig förpliktelse, men det ligger 1 sakens natur, att en förening, som på det sättet premieras av staten, icke skall ställa sig ovillig, när det, som sagt, gäller att få den att taga hand om några särskilt svåra och ömtåliga uppgifter.</w:t>
        <w:br/>
        <w:br/>
        <w:t xml:space="preserve">Det kan mycket starkt ifrågasättas. om den förening, som nu skall erhålla sådant statsunderstöd, verkligen har ställt sig på den ståndpunkt, som jag nyss antydde. När det gällde att utarbeta propositionen rörande samhällets barnavård, vilken nu remitterats till lagrådet och om några dagar lär komma på kammarens bord, förelåg, enligt vad jag erfarit, till behandling frågan om vilka institutioner, som skulle kunna befinnas villiga och lämpliga att taga hand om de </w:t>
      </w:r>
      <w:r>
        <w:rPr>
          <w:b/>
        </w:rPr>
        <w:t>flickor²</w:t>
      </w:r>
      <w:r>
        <w:rPr>
          <w:b w:val="0"/>
        </w:rPr>
        <w:t xml:space="preserve"> mellan 15 och 18 år, som äro vanartade och kräva alldeles särskild hänsyn och hjälp. Man vände sig då till den förening, som vi nyss beslutat tilldela understöd, nämligen Drottning Sophias skyddshem, och fick det tillmötesgående svaret, att 10 </w:t>
      </w:r>
      <w:r>
        <w:rPr>
          <w:b/>
        </w:rPr>
        <w:t>flickor²</w:t>
      </w:r>
      <w:r>
        <w:rPr>
          <w:b w:val="0"/>
        </w:rPr>
        <w:t xml:space="preserve"> skulle föreningen kunna taga hand om. Man vände sig dessutom till diakonissanstalterna såväl i Stockholm som Härnösand samt Samariterhemmet, och överallt fick man tillmötesgående svar. Men när man kom till frälsningsarmén och framställde samma begäran, fick man blankt nej. Frälsningsarmén ville icke taga hand om en verksamhet av detta slag och således icke hjälpa samhället med denna svåra uppgift. Det var endast sådana, som frivilligt anmälde sig till frälsningsarmén, som organisationen ville understödja. Någon tid därefter förelåg en annan mycket ömtålig och svår uppgift av delvis samma slag, som den av mig nyss omnämnda, nämligen omhändertagandet av de olyckliga </w:t>
      </w:r>
      <w:r>
        <w:rPr>
          <w:b/>
        </w:rPr>
        <w:t>kvinnor¹</w:t>
      </w:r>
      <w:r>
        <w:rPr>
          <w:b w:val="0"/>
        </w:rPr>
        <w:t>, vilka måste intagas på arbetshem och hjälpas på ett eller annat sätt. Man hade då anledning att förvänta, att frälsningsarmén åtminstone på den punkten skulle ställa sig särskilt välvillig, ty uti frälsningsarméns historia är alldeles klart och tydligt fastslaget, att det är just sådana individer, vilka ingen annan kan eller vill hjälpa, som denna institution verkligen med framgång har omhändertagit. När man framställde denna begäran till fräls-</w:t>
        <w:br/>
        <w:br/>
        <w:t>ningsarmén, framhöll man, att det icke alls var fråga om det ekonomiska, eftersom staten och landstingen skulle offra medlen, utan det gällde bara ledningen och ordnandet av det hela, ansvaret för det hela, men man fick återigen ett nej. Det »nejet» var kanske av någon annan art än det föregående, ty det tillades, att man ville ägna sig åt uppgifter, som äro mera lovande och fruktbärande.</w:t>
        <w:br/>
        <w:br/>
        <w:t>Jag kan icke neka till, att jag i någon mån tyckte, att detta svar var egendomligt med hänsyn till frälsningsarméns föregående verksamhet, men jag ber samtidigt få säga, att jag icke med detta vill taga någon ställning gentemot denna organisation. Redan för 25 år sedan studerade jag dess verksamhet i London och har sedan följt densamma under de gångna åren, och jag för min del har därvid funnit, att man i mångt och mycket kan skänka verksamheten livligt erkännande, ehuru jag i några punkter ställer mig kritisk gentemot densamma. Jag har trott mig märka, att det för närvarande finnes en tendens från frälsningsarmén i detta land att icke fulifölja den storslagna tanke, som låg däruti, att när Catherine Booth stiftade denna ganska underbara institution, så var det just i krogar och osedlighetsnästen samt bland folk, som överhuvud taget befann sig bland de understa skikten i samhället, som denna stora verksamhet egentligen grundlades och visade sin största effektivitet.</w:t>
        <w:br/>
        <w:br/>
        <w:t>Jag har mig nu bekant, att i åtskilliga andra länder, till exempel i Amerika, ställer man sig på den ståndpunkten, att samhället skall offra medel, samhället skall giva de nödvändiga förutsättningarna för den verksamhet, som nu åsyftas, men på grund av de erfarenheter och kunskaper, som onekligen i mycket stor omfattning äro tillfinnandes just hos frälsningsarméns ledande krafter, skola de handhava ledningen och tillse, att verksamheten blir den bästa och mest fruktbringande.</w:t>
        <w:br/>
        <w:br/>
        <w:t>Jag har nödgats uttala dessa synpunkter i anledning av framtida handläggning av anslagsfrågor till föreningar, men det leder mig icke till den ståndpunkten, att jag vid detta tillfälle skulle yrka avslag på det anslag av 6,000 kronor, som utskottet gått med på. Däremot vill jag, herr talman, uttrycka den bestämda förhoppningen, att när det under den närmaste framtiden gäller att taga hand om dessa ömtåliga uppgifter, om vilka jag nu talat — det blir kanske även nya svåra uppgifter, som inställa sig — man då från detta håll icke skall mötas av samma oförstående i fråga om detta arbete, utan tvärtom bör kunna vad beträffar ledning och organisation av det hela påräkna stöd och erfarenhet från frälsningsarmén.</w:t>
        <w:br/>
        <w:br/>
        <w:t>Under uttalandet av denna förhoppning ber jag sålunda, herr talman, att få yrka bifall till utskottets hemställan.</w:t>
      </w:r>
    </w:p>
    <w:p>
      <w:pPr>
        <w:pStyle w:val="Heading2"/>
      </w:pPr>
      <w:r>
        <w:t>2. Alfred Petren (Socialdemokraterna, man)</w:t>
      </w:r>
    </w:p>
    <w:p>
      <w:r>
        <w:rPr>
          <w:b w:val="0"/>
        </w:rPr>
        <w:t xml:space="preserve">Den motion, som utskottet här avstyrkt, innebar, att föreståndarinnan vid statens uppfostringsanstalt i Vänersborg för vanartade sinnesslöa </w:t>
      </w:r>
      <w:r>
        <w:rPr>
          <w:b/>
        </w:rPr>
        <w:t>flickor²</w:t>
      </w:r>
      <w:r>
        <w:rPr>
          <w:b w:val="0"/>
        </w:rPr>
        <w:t xml:space="preserve"> skulle för ålderstillägg få räkna sig tillgodo tjänstgöring, som </w:t>
      </w:r>
      <w:r>
        <w:rPr>
          <w:b/>
        </w:rPr>
        <w:t>hon²</w:t>
      </w:r>
      <w:r>
        <w:rPr>
          <w:b w:val="0"/>
        </w:rPr>
        <w:t xml:space="preserve"> tidigare haft vid länsanstalter för sinnesslöa.</w:t>
        <w:br/>
        <w:br/>
        <w:t>Statsutskottet har nu ansett, att det icke kan vara tillrådligt att tillstyrka detta med hänsyn till de konsekvenser som ett bifall till motionen skulle komma att medföra. Frånsett att varje fall ju bör prövas för sig, så kan till detta utskottsuttalande sägas, att riksdagen redan har beviljat ålderstillägg i ett liknande fall, som också är omnämnt i motionen. Det förhåller sig nämligen så, att i fråga om statens anstalt för blinda med komplicerat lyte har det bestämts, att ämneslärarinna får för beräknande av ålderstillägg tillgodogöra sig tjänstgöring vid sinnesslöanstalt eller av landsting underhållen dövstumskola. Skälet härtill var, att det förut icke fanns någon statlig anstalt för sinnesslöa blinda eller dövstumma blinda, vilka två kategorier nu kunna intagas i denna statens anstalt för blinda med komplicerat lyte, utan i fråga om sinnesslöa landstingsanstalter och enskilda anstalter och i fråga om dövstumma endast anstalter, anordnade av distrikt, bestående av flera landsting. För att kunna få kompetenta personer till den nya statsanstalten bestämdes då, att för beräkning av ålderstillägg skulle tjänstgöring vid dylika anstalter få medräknas.</w:t>
        <w:br/>
        <w:br/>
        <w:t xml:space="preserve">Däremot medkom icke denna bestämmelse, när riksdagen beslöt utgiftsstaten för denna statens uppfostringsanstalt i Vänersborg för vanartade sinnesslöa </w:t>
      </w:r>
      <w:r>
        <w:rPr>
          <w:b/>
        </w:rPr>
        <w:t>flickor²</w:t>
      </w:r>
      <w:r>
        <w:rPr>
          <w:b w:val="0"/>
        </w:rPr>
        <w:t xml:space="preserve">. Efter mitt förmenande kunna alldeles samma skäl här anföras för att tjänstgöring vid en länsanstalt för sinnesslöa skulle få räknas tillgodo vid bestämmandet av ålderstillägg. I vilket fall som helst är det synnerligen hårt, att icke den nuvarande föreståndarinnan vid statens anstalt i Vänersborg för vanartade sinnesslöa </w:t>
      </w:r>
      <w:r>
        <w:rPr>
          <w:b/>
        </w:rPr>
        <w:t>flickor²</w:t>
      </w:r>
      <w:r>
        <w:rPr>
          <w:b w:val="0"/>
        </w:rPr>
        <w:t xml:space="preserve"> får tillgodoräkna sig föregående tjänstgöring. Följden därutav har blivit den, att </w:t>
      </w:r>
      <w:r>
        <w:rPr>
          <w:b/>
        </w:rPr>
        <w:t>hon²</w:t>
      </w:r>
      <w:r>
        <w:rPr>
          <w:b w:val="0"/>
        </w:rPr>
        <w:t xml:space="preserve"> kommit i en vida sämre löneställning än den,</w:t>
        <w:br/>
        <w:br/>
      </w:r>
      <w:r>
        <w:rPr>
          <w:b/>
        </w:rPr>
        <w:t>hon²</w:t>
      </w:r>
      <w:r>
        <w:rPr>
          <w:b w:val="0"/>
        </w:rPr>
        <w:t xml:space="preserve"> skulle varit i, om </w:t>
      </w:r>
      <w:r>
        <w:rPr>
          <w:b/>
        </w:rPr>
        <w:t>hon²</w:t>
      </w:r>
      <w:r>
        <w:rPr>
          <w:b w:val="0"/>
        </w:rPr>
        <w:t xml:space="preserve"> stannat kvar som föreståndarinna vid den länsanstalt, där </w:t>
      </w:r>
      <w:r>
        <w:rPr>
          <w:b/>
        </w:rPr>
        <w:t>hon²</w:t>
      </w:r>
      <w:r>
        <w:rPr>
          <w:b w:val="0"/>
        </w:rPr>
        <w:t xml:space="preserve"> senast tjänstgjorde. Som föreståndarinna vid Blekinge och Gotlands läns sinnesslöanstalt hade </w:t>
      </w:r>
      <w:r>
        <w:rPr>
          <w:b/>
        </w:rPr>
        <w:t>hon²</w:t>
      </w:r>
      <w:r>
        <w:rPr>
          <w:b w:val="0"/>
        </w:rPr>
        <w:t xml:space="preserve"> en grundlön av 1,500 kronor samt 3 ålderstillägg på 200 kronor vardera, således en summa av 2,100 kronor. Därtill kommo fria skatter, motsvarande cirka 200 kronor. </w:t>
      </w:r>
      <w:r>
        <w:rPr>
          <w:b/>
        </w:rPr>
        <w:t>Hon²</w:t>
      </w:r>
      <w:r>
        <w:rPr>
          <w:b w:val="0"/>
        </w:rPr>
        <w:t xml:space="preserve"> hade alltså kontant 2,300 kronor och fritt vivre. Som föreståndarinna vid denna statens anstalt har </w:t>
      </w:r>
      <w:r>
        <w:rPr>
          <w:b/>
        </w:rPr>
        <w:t>hon²</w:t>
      </w:r>
      <w:r>
        <w:rPr>
          <w:b w:val="0"/>
        </w:rPr>
        <w:t xml:space="preserve"> en kontant lön av 2,400 kronor, men icke fri mat. Då portionspriset för personalen är satt till 1 krona och 60 öre per dag, innebär detta ett avdrag på cirka 600 kronor, d. v. s. </w:t>
      </w:r>
      <w:r>
        <w:rPr>
          <w:b/>
        </w:rPr>
        <w:t>hon²</w:t>
      </w:r>
      <w:r>
        <w:rPr>
          <w:b w:val="0"/>
        </w:rPr>
        <w:t xml:space="preserve"> får ungefär 500 kronor mindre i avlöning nu, än om </w:t>
      </w:r>
      <w:r>
        <w:rPr>
          <w:b/>
        </w:rPr>
        <w:t>hon²</w:t>
      </w:r>
      <w:r>
        <w:rPr>
          <w:b w:val="0"/>
        </w:rPr>
        <w:t xml:space="preserve"> varit kvar i sin föregående tjänst.</w:t>
        <w:br/>
        <w:br/>
        <w:t>Jag har varit angelägen att taga upp denna fråga i en motion, därför att jag får medgiva, att det delvis kanske var mitt fel, att icke från början uppmärksamheten fästes på vikten av att ålderstillägg i fråga om denna befattning får räknas på en föregående tjänstgöring vid länsanstalt för sinnesslöa. Den sakkunnigeutredning, som låg till grund för Kungl. Maj:ts förslag, upptog nämligen icke detta och själv var jag med om att utarbeta detta sakkunnigeutlåtande. Till vårt försvar kan möjligen anföras, att vi föreslagit en högre lön för föreståndarinnan vid denna anstalt än den som vid den tidpunkten gällde för föreståndarinnorna vid länens sinnesslöanstalter. Den föreslagna lönen 2,800 kronor reducerades emellertid av Kungl. Maj:t till 2,700 kronor samt sedermera av riksdagen till 2,400.</w:t>
        <w:br/>
        <w:br/>
        <w:t>Som frågan nu ligger, skall jag icke göra något yrkande. Däremot kommer Jag att tillåta mig att framdeles till herr statsrådets disposition överlämna en utredning angående föreståndarinnelönerna vid länsanstalter för sinnesslöa barn.</w:t>
      </w:r>
    </w:p>
    <w:p>
      <w:pPr>
        <w:pStyle w:val="Heading2"/>
      </w:pPr>
      <w:r>
        <w:t>3. Axel von Sneidern (Liberala riksdagspartiet, man)</w:t>
      </w:r>
    </w:p>
    <w:p>
      <w:r>
        <w:rPr>
          <w:b w:val="0"/>
        </w:rPr>
        <w:t>I egenskap av dels motiocnär, dels ordförande i styrelsen för denna anstalt kan jag icke underlåta att kraftigt understryka de synpunkter, som herr Petrén här låtit framkomma. Jag skall icke heller göra något yrkande i det läge, frågan nu har, utan jag vill endast påpeka, att den lönepolitik är fullkomligt orimlig, som i detta fall bedrives.</w:t>
        <w:br/>
        <w:br/>
        <w:t>Som herr Petrén har visat, har föreståndarinnan vid denna anstalt en avsevärt lägre lön än föreståndarinnorna vid länsanstalterna. Vidare förekommer icke, då denna utgiftsstat ännu är extra, någon pensionsrätt för ifrågavarande föreståndarinna. Nämnda förmån ha däremot föreståndarinnorna vid länsanstalterna. Då är det ju klart, att man icke kan förvänta att vid denna anstalt erhålla så kvalificerade krafter som de, vilka kunna stå till buds vid länsanstalterna.</w:t>
        <w:br/>
        <w:br/>
        <w:t xml:space="preserve">I detta fall tror jag, att föreståndarinnan har räknat något fel, då </w:t>
      </w:r>
      <w:r>
        <w:rPr>
          <w:b/>
        </w:rPr>
        <w:t>hon²</w:t>
      </w:r>
      <w:r>
        <w:rPr>
          <w:b w:val="0"/>
        </w:rPr>
        <w:t xml:space="preserve"> sökte denna plats i den tron, att förmånerna skulle vara samma som vid den anstalt, varifrån </w:t>
      </w:r>
      <w:r>
        <w:rPr>
          <w:b/>
        </w:rPr>
        <w:t>hon²</w:t>
      </w:r>
      <w:r>
        <w:rPr>
          <w:b w:val="0"/>
        </w:rPr>
        <w:t xml:space="preserve"> kom. Jag vet icke, om </w:t>
      </w:r>
      <w:r>
        <w:rPr>
          <w:b/>
        </w:rPr>
        <w:t>hon²</w:t>
      </w:r>
      <w:r>
        <w:rPr>
          <w:b w:val="0"/>
        </w:rPr>
        <w:t xml:space="preserve">, sedan </w:t>
      </w:r>
      <w:r>
        <w:rPr>
          <w:b/>
        </w:rPr>
        <w:t>hon²</w:t>
      </w:r>
      <w:r>
        <w:rPr>
          <w:b w:val="0"/>
        </w:rPr>
        <w:t xml:space="preserve"> fått reda på, huru det verkligen står till med avlöningsförhållandena, kommer att söka sig ifrån anstalten. I det fallet är jag livligt övertygad om, att vi få mycket svårt att få någon, som kan ersätta </w:t>
      </w:r>
      <w:r>
        <w:rPr>
          <w:b/>
        </w:rPr>
        <w:t>henne²</w:t>
      </w:r>
      <w:r>
        <w:rPr>
          <w:b w:val="0"/>
        </w:rPr>
        <w:t>, i varje fall icke någon med de kvalifikationer, som kunna stå till buds vid länsanstalterna. Denna vår ställning är så mycket betänkligare, som denna anstalt är alldeles särskilt svår att sköta, då det som bekant är de allra svåraste eleverna — på samma gång sinnesslöa och vanartade — som äro avsedda att intagas här.</w:t>
        <w:br/>
        <w:br/>
        <w:t>Jag ber emellertid i frågans nuvarande läge få inskränka mig till att uttala den förhoppningen, att Kungl. Maj:t måtte taga denna fråga om hand och verkligen åvägabringa så snart som möjligt en ny och bättre lösning än den, som kan vinnas vid denna riksdag.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465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