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1632</w:t>
      </w:r>
    </w:p>
    <w:p>
      <w:r>
        <w:rPr>
          <w:b/>
        </w:rPr>
        <w:t xml:space="preserve">Datum: </w:t>
      </w:r>
      <w:r>
        <w:t>1924-05-02</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Agda Östlund (Socialdemokraterna, woman)</w:t>
      </w:r>
    </w:p>
    <w:p>
      <w:r>
        <w:rPr>
          <w:b w:val="0"/>
        </w:rPr>
        <w:t xml:space="preserve">Herr talman! Att de motioner, som det här är fråga om och som gå ut på att rätten till åtnjutande av barntillägg skall utsträckas att avse jämväl barn till </w:t>
      </w:r>
      <w:r>
        <w:rPr>
          <w:b/>
        </w:rPr>
        <w:t>änka²</w:t>
      </w:r>
      <w:r>
        <w:rPr>
          <w:b w:val="0"/>
        </w:rPr>
        <w:t xml:space="preserve"> efter invalid person, äro till sitt syfte behjärtansvärda, är naturligtvis icke tu tal om. Men jag har velat begagna tillfället att säga, att jag anser, att den av utskottet med anledning av dessa motioner föreslagna utredningen skulle ge så oändligt litet. Jag skall icke yrka avslag på utskottets hemställan, men anser som sagt ingalunda, att det blir så mycket vunnet med den ifrågasatta utredningen.</w:t>
        <w:br/>
        <w:br/>
        <w:t>Men jag skulle vilja fästa uppmärksamheten på den motion som av mig och några andra av kammarens ledamöter framlagts med anledning av Kungl. Maj:ts proposition nr 150 med förslag till lag om samhällets barnavård, vari vi begära utredning angående på vilket sätt och efter vilka grunder pension eller understöd skall kunna tilldelas barn till änkor. Vi ha således önskat att en utredning i detta ärende skall göras mera omfattande och avse frågan om barnpension i allmänhet. Då den nu föreliggande frågan behandlades i första kammaren, uttalades även den meningen, att den här föreslagna utredningen icke på något sätt borde få förhindra en sådan större utredning. Det är också med hänsyn därtill som jag velat erinra om att om också den motion det här gäller är behjärtansvärd, så berör den kanske bara en hundradel av dem, som verkligen skulle behöva komma i åtnjutande av pension, då däremot vi med vår motion avsett att få en utredning till stånd angående möjligheten av och sättet för tilldelande av understöd eller pension åt änkors barn.</w:t>
        <w:br/>
        <w:br/>
        <w:t>Det är endast denna reservation jag här velat göra, att man icke bör anse frågan på något sätt slutligt löst, om kammaren beslutar bifalla utskottets förslag.</w:t>
      </w:r>
    </w:p>
    <w:p>
      <w:pPr>
        <w:pStyle w:val="Heading2"/>
      </w:pPr>
      <w:r>
        <w:t>2. Arthur Wilhelm Gustafsson (Lantmanna- och borgarepartiet inom andrakammaren, man)</w:t>
      </w:r>
    </w:p>
    <w:p>
      <w:r>
        <w:rPr>
          <w:b w:val="0"/>
        </w:rPr>
        <w:t>Herr talman! Då jag väckt denna motion, så har det skett på grund av den erfarenhet jag vunnit under min verksamhet</w:t>
        <w:br/>
        <w:br/>
        <w:t>såsom pensior.sstyrelsens ombud. Det förhåller sig nu så, att om en man är Ang. invalid och såsom sådan har att åtnjuta en viss pension, så har han därjämte, om Urs det finnes barn i familjen, rätt till pension också för dessa. Dör nu mannen, så tilläggför barn indrages icke bara hans pension, utan även pensionen till barnen. Jag har nu åt vissa änkor under min verksamhet haft tillfälle att iakttaga en hel del fall av rent utav Mi: upprörande art. Det har gällt änkor, som just efter mannens frånfälle varit i (Forts.) det allra största behov av det understöd som vid hans död indragits och som nu i sin nöd varit hänvisade att anlita fattigvården.</w:t>
        <w:br/>
        <w:br/>
        <w:t xml:space="preserve">Då jag anser att den utredning, som </w:t>
      </w:r>
      <w:r>
        <w:rPr>
          <w:b/>
        </w:rPr>
        <w:t>fru²</w:t>
      </w:r>
      <w:r>
        <w:rPr>
          <w:b w:val="0"/>
        </w:rPr>
        <w:t xml:space="preserve"> Östlund med sin motion vill åstadkomma och som </w:t>
      </w:r>
      <w:r>
        <w:rPr>
          <w:b/>
        </w:rPr>
        <w:t>hon²</w:t>
      </w:r>
      <w:r>
        <w:rPr>
          <w:b w:val="0"/>
        </w:rPr>
        <w:t xml:space="preserve"> här har talat om, är av allt för stor omfattning och således naturligtvis måste ta en längre tid i anspråk, så kan jag icke finna annat än att den motion som avgivits av mig och herr von Koch i första kammaren avser möjlighet att snabbt avvärja de mest f ramträdande olägenheterna av de nuvarande bestämmelserna, att råda bot på de ledsamma förhållanden som jag antytt. Jag måste nämligen uttryckligen säga herrarna, att det här verkligen är fråga om synnerligen bedrövliga missförhållanden.</w:t>
        <w:br/>
        <w:br/>
        <w:t>Jag hoppas därför, att det skrivelseförslag, som det här är fråga om, skall realiseras och åstadkomma en snar förändring till det bättre, så att det nuvarande oefterrättlighetstillståndet försvinner. Då mitt förslag innebär en förbättring av pensionsväsendet och då kostnaderna för dess genomförande måste betecknas såsom övervinnliga, är det ett ytterligare skäl för mig att antaga, att kammaren också vill gå med på utskottets hemställan, till vilken jag sålunda för egen del ber att få yrka bifall.</w:t>
        <w:br/>
        <w:br/>
        <w:t>stjälpt mått: rymdinnehållet av virke i löst mått, då virket mätes, utan ordning kastat eller vräkt i hög eller i mätningseller transportredskap.</w:t>
        <w:br/>
        <w:br/>
        <w:t>Småved må icke försäljas i annan längd än en fjärdedels meter och annan brännved icke i andra längder än hela mångfalder av en fjärdedels meter, allt såvida icke köpare för särskilt fall påfordrar leverans av ved av angiven annan längd.</w:t>
        <w:br/>
        <w:br/>
        <w:t>Säljare, som överträder i 2 eller 3 8 given bestämmelse, straffas med böter från och med tio till och med ettusen kronor, där ej gärningen är i allmänna strafflagen belagd med straff.</w:t>
        <w:br/>
        <w:br/>
        <w:t>Av böter, som ådömas enligt denna förordning, tillfaller en tredjedel åklagaren och återstoden kronan. Saknas tillgång till böternas fulla gäldande, skola de förvandlas enligt allmänna strafflagen.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