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1644</w:t>
      </w:r>
    </w:p>
    <w:p>
      <w:r>
        <w:rPr>
          <w:b/>
        </w:rPr>
        <w:t xml:space="preserve">Datum: </w:t>
      </w:r>
      <w:r>
        <w:t>1924-06-06</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Sven Bengtsson (Folkpartiet, man)</w:t>
      </w:r>
    </w:p>
    <w:p>
      <w:r>
        <w:rPr>
          <w:b w:val="0"/>
        </w:rPr>
        <w:t xml:space="preserve">Herr talman! Det är ju alltid värt att skänka sin tacksamhet åt den, som uppträder till de svagas försvar i ett samhälle, och såtillvida kan jag icke annat än skänka herr Kilbom min tacksamhet. När emellertid denna beskyddande hand sträckes så långt, att han yrkar på att lösdrivarlagen skall upphävas, undrar jag, om icke herr Kilbom ser med litet för skumma blickar på frågan. Det är nämligen så, att denna lag gäller icke blott Stockholm utan hela landet. När herr Kilbom drar fram Stockholmsförhållanden, exempelvis polisens behandling i det anförda fallet av prostituerade, är det ju beklagligt, om det är riktigt som herr Kilbom säger, men vad säger herr Kilbom, om det ute på landsbygden bor en ensam </w:t>
      </w:r>
      <w:r>
        <w:rPr>
          <w:b/>
        </w:rPr>
        <w:t>kvinna¹</w:t>
      </w:r>
      <w:r>
        <w:rPr>
          <w:b w:val="0"/>
        </w:rPr>
        <w:t xml:space="preserve">, ren och dygdig, och om en lösdrivare, som stryker vägen fram, utan någon som helst notis tränger sig in genom att slå in dörren eller ta ut ett fönster och våldför sig på </w:t>
      </w:r>
      <w:r>
        <w:rPr>
          <w:b/>
        </w:rPr>
        <w:t>henne²</w:t>
      </w:r>
      <w:r>
        <w:rPr>
          <w:b w:val="0"/>
        </w:rPr>
        <w:t>? Jag tycker, att man får tänka litet på att samhället i ett sådant fall bör ge allt det skydd, som är möjligt. Det är endast ett exempel.</w:t>
        <w:br/>
        <w:br/>
        <w:t>Vidare kan man också anföra det stöd, som lösdrivarlagen ger, om exempelvis i elt småbrukarhem mannen är ute på åker och äng och sköter sitt arbete, och det kommer en man landsvägen fram, som helt enkelt går in och befaller fram vad han behagar och därmed punkt och pricka. Lyder man icke, bli följderna svåra. Det är naturligtvis meningen, att såväl polismyndigheter, på landsbygden fjär-</w:t>
      </w:r>
    </w:p>
    <w:p>
      <w:pPr>
        <w:pStyle w:val="Heading2"/>
      </w:pPr>
      <w:r>
        <w:t>2. Karl Kilbom (Sveriges kommunistiska parti, man)</w:t>
      </w:r>
    </w:p>
    <w:p>
      <w:r>
        <w:rPr>
          <w:b w:val="0"/>
        </w:rPr>
        <w:t xml:space="preserve">Båda de exempel, som herr Bengtsson i Norup anförde, ifråga om våldtäkt mot ensamboende </w:t>
      </w:r>
      <w:r>
        <w:rPr>
          <w:b/>
        </w:rPr>
        <w:t>kvinna¹</w:t>
      </w:r>
      <w:r>
        <w:rPr>
          <w:b w:val="0"/>
        </w:rPr>
        <w:t>, och då en person går in i ett hem för att tilltvinga sig mat, voro mycket misslyckade, ty båda kunna, såvitt jag förstår, ögonblickligen av vem som helst rubriceras såsom fallande under allmänna strafflagen — under allmänna strafflagen utan någon tvekan.</w:t>
        <w:br/>
        <w:br/>
        <w:t>I övrigt är det verkligen något förvånande att höra, att herr Bengtsson i Norup nu anför precis samma argument, som redan på 1880-talet anfördes mot Adolf Hedin, då han drog i härnad mot lösdrivarlagen. J ag måste emellertid tillägga, att den gången kommo dessa argument icke från de så kallade liberala, utan de kommo den gången från den allra yttersta högern.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1644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