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1684</w:t>
      </w:r>
    </w:p>
    <w:p>
      <w:r>
        <w:rPr>
          <w:b/>
        </w:rPr>
        <w:t xml:space="preserve">Datum: </w:t>
      </w:r>
      <w:r>
        <w:t>1926-04-10</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Jönsson (Liberala riksdagspartiet, man)</w:t>
      </w:r>
    </w:p>
    <w:p>
      <w:r>
        <w:rPr>
          <w:b w:val="0"/>
        </w:rPr>
        <w:t>Herr talman! Herr Björkman gjorde gällande, att de redan utbetalda ersättningarna till Brändströms och Askers stärbhus borde betraktas som ränta på kapital. Men nu har ju den sakkunnige, som gjort värderingen, utgått ifrån, att när det gäller möblemang, kan man icke tala om kapital av sådan beskaffenhet, att man kan få någon ränta på detsamma. Från den utgångspunkten hade den sakkunnige kommit till den uppfattningen, att det borde göras avdrag med en viss del av dessa tidigare utbetalda belopp. Jag för min del kan icke finna annat, än att detta senare betraktelsesätt är fullt riktigt.</w:t>
        <w:br/>
        <w:br/>
        <w:t xml:space="preserve">Beträffande vad herr Björkman sade om envoyén Brändström och de tjänster han gjort oss därborta i Ryssland, så äro vi ju alla ense om, att han på ett mycket förtjänstfullt sätt tillvaratog de svenska intressena, och detsamma gäller generalkonsul Asker i Moskva. Det finns emellertid en tredje person här, som icke får glömmas i detta sammanhang, men som icke alls omnämndes i herr Björkmans anförande, en person, vars lidanden voro ojämförligt mycket större, och det är kanslisten Lundberg. Han stannade nämligen på platsen. tills han blev häktad, och han satt sedan häktad i Ryssland ett helt år. Den sakkunnige har framhållit, att </w:t>
      </w:r>
      <w:r>
        <w:rPr>
          <w:b/>
        </w:rPr>
        <w:t>fröken²</w:t>
      </w:r>
      <w:r>
        <w:rPr>
          <w:b w:val="0"/>
        </w:rPr>
        <w:t xml:space="preserve"> Brändström vid samtal med honom sagt, att vad ni än gör, så gör rätt åt kanslisten Lundberg. Det var </w:t>
      </w:r>
      <w:r>
        <w:rPr>
          <w:b/>
        </w:rPr>
        <w:t>hennes²</w:t>
      </w:r>
      <w:r>
        <w:rPr>
          <w:b w:val="0"/>
        </w:rPr>
        <w:t xml:space="preserve"> uppfattning om spörsmålet.</w:t>
        <w:br/>
        <w:br/>
        <w:t>Nu tror jag för min del, att även om dessa ersättningar icke kunna anses ligga i överkant, såsom herr Björkman vill, att de skola göra, så komma de dock det rimliga ganska nära, och jag tror icke, att någon av dessa personer, om de få de ersättningar, som statsutskottet föreslår, kommer att lida någon direkt förlust genom att de tidigare blivit undanhållna sina ägodelar av bolsjevikerna. Blir det fråga om att belöna dessa personer, får man välja andra former härför än att bevilja dem ersättning för möblemang, som de under en viss tid varit berövade, och som delvis förstörts.</w:t>
        <w:br/>
        <w:br/>
        <w:t>Herr talman! Jag yrkar bifall till utskottets hemställan.</w:t>
      </w:r>
    </w:p>
    <w:p>
      <w:pPr>
        <w:pStyle w:val="Heading2"/>
      </w:pPr>
      <w:r>
        <w:t>2. Gustaf Adolf Björkman (Första kammarens nationella parti, man)</w:t>
      </w:r>
    </w:p>
    <w:p>
      <w:r>
        <w:rPr>
          <w:b w:val="0"/>
        </w:rPr>
        <w:t>Med fullständigt ordnande av anstalter, som omförmälas i 33 $, må anstå intill den 1 januari 1929. |</w:t>
        <w:br/>
        <w:br/>
        <w:t>Med fullständigt ordnande av anstalter, som omförmälas i 33 $, må anstå intill den 1 januari 1934.</w:t>
      </w:r>
    </w:p>
    <w:p>
      <w:pPr>
        <w:pStyle w:val="Heading2"/>
      </w:pPr>
      <w:r>
        <w:t>3. Carl Arvid Anderson (Lantmanna- och borgarepartiet inom andrakammaren, man)</w:t>
      </w:r>
    </w:p>
    <w:p>
      <w:r>
        <w:rPr>
          <w:b w:val="0"/>
        </w:rPr>
        <w:t>Herr talman! Beträffande den del av utskottets utlåtande, som berör ålderdomshemmen, har enighet uppnåtts i utskot-</w:t>
        <w:br/>
        <w:br/>
        <w:t>tet att med vissa modifikationer tillmötesgå kraven 1 de väckta motionerna. Men där slutar också den fullständiga enigheten.</w:t>
        <w:br/>
        <w:br/>
        <w:t>I en av de väckta motionerna har det framförts förslag om att man skulle gå in för ett uppskov beträffande lagens ikraftträdande även 1 vad den giller arbetshemmen. Det synes mig, att starka skäl föreligga för ett sådant uppskov. Frågan om arbetshemmen är ny. Vi ha ännu icke fått utrönt huru stort behovet av arbetshem är, och de erfarenheter, vi hittills haft, ha visat, att de utredningar, som legat till grund för byggandet av dessa hem, icke hållit streck i verkligheten. Som ett exempel härpå kan jag nämna det arbetshem, som finnes i det län i västra Sverige, som jag tillhör. Det antogs, att detta arbets- "hem på Västergården skulle vara behövligt för Skaraborgs, Älvsborgs och Göteborgs och Bohus län. Nu visar det sig emellertid, att behovet av vårdplatser inom detta område icke på långt när är så stort som man trodde. För närvarande har man kunnat intaga interner från åtskilliga andra län, nämligen Värmlands, Hallands, Södermanlands och Västerbottens län liksom också från Göteborgs stad. Trots att man sålunda kunnat tillfredsställa behovet av sådan anstaltsvård inom ett långt större område, än från början var avsett med detta arbetshem, har hemmet icke under någon tid varit fullbelagt, ja icke ens halvbelagt. Arbetshemmet är avsett för 65 vårdplatser, men högsta antalet interner, som på en gång varit där, har uppgått till 30, och för närvarande äro endast 24 platser upptagna. Detta synes mig tydligt ådas galägga, att frågan om arbetshemmen ännu befinner sig på försöksstadiet; man kan för närvarande icke fillförlitligt bedöma det antal vårdplatser, som i fortsättningen kan vara behövligt.</w:t>
        <w:br/>
        <w:br/>
        <w:t xml:space="preserve">Vad nu sagts gäller de för män avsedda arbetshemmen, men samma skäl för oppskov föreligger i ännu högre grad i fråga om arbetshemmen för </w:t>
      </w:r>
      <w:r>
        <w:rPr>
          <w:b/>
        </w:rPr>
        <w:t>kvinnor¹</w:t>
      </w:r>
      <w:r>
        <w:rPr>
          <w:b w:val="0"/>
        </w:rPr>
        <w:t xml:space="preserve">. Av sådana hem finnes för närvarande endast ett i bruk, ett annat, avsett för länen i västra Sverige, är för närvarande under inrättande och kommer väl under årets lopp att tagas i bruk. Detta arbetshem för </w:t>
      </w:r>
      <w:r>
        <w:rPr>
          <w:b/>
        </w:rPr>
        <w:t>kvinnor¹</w:t>
      </w:r>
      <w:r>
        <w:rPr>
          <w:b w:val="0"/>
        </w:rPr>
        <w:t xml:space="preserve"> är avsett att tillgodose behovet inom ett område bestående av Skaraborgs län, Älvsborgs län, Göteborgs och Bohus län och Värmlands län. För detta arbetshem har man tagit i bruk en byggnad i Herrljunga, som ursprungligen varit avsedd till annat ändamål, nämligen till epidemisjukhus, men som härför visat sig överflödigt.</w:t>
        <w:br/>
        <w:br/>
        <w:t>Då det gäller att bygga för här ifrågavarande ändamål, måste man gå fram med försiktighet och endast i mån erfarenheterna visa det nödigt inrätta nya anstalter och på så sätt söka sig fram till det antal arbetshem, som kan befinnas erforderligt.</w:t>
        <w:br/>
        <w:br/>
        <w:t>Nu säger man att om lagen träder i kraft såsom tidigare bestämts, så förefinnes därmed ingen risk för att fattigvårdsmyndigheterna skola kräva ett byggande utöver behovet. Man kan dock mot detta påstående ställa sig synnerligen tvivlande, ty det har dock förekommit, att fattigvårdsmyndigheterna hos såväl Konungens befallningshavande som hos landstingen sökt allt för mycket påskynda denna anstaltsvårds ordnande. Träder lagen i kraft, är det tydligt, att de landsting, som ännu ingenting åtgjort i frågan, kunna komma, utgående från samma förutsättningar, som man haft på andra håll, att bygga större och dyrbarare än som erfordras. Ett uppskov med lagens ikraftträdande beträffande det fullständiga ordnandet av denna anstaltsfråga kan icke under några omständigheter innebära någon fara. Från landstingens sida har det visats mycket stort tillmötesgående i fråga om dessa anstalter, och trots att lagen icke träder i kraft förrän den 1 januari 1929, har det dock inrättats så många arbetshem, att man med skäl kan ifrågasätta, huruvida det är erforderligt att bygga ytterligare sådana. Detta gäller då i synnerhet arbetshem för män.</w:t>
        <w:br/>
        <w:br/>
        <w:t>Det är ju också av ekonomisk betydelse för de län, som på grund av tidigare felbedömningar ha ordnat frågan om arbetshemmen så att de gått utöver beho-</w:t>
        <w:br/>
        <w:br/>
        <w:t>vet, att med dessa arbetshems verksamhetsområde kunna förena andra områden, varigenom dessa arbetshem kunna erhålla en fördelaktigare ekonomisk drift än som kan bli fallet med liten beläggning.</w:t>
        <w:br/>
        <w:br/>
        <w:t>Det synes mig därför, att starka ekonomiska och praktiska skäl tala för uppskov med ikraftträdandet av denna lag, och då i inga som helst skäl torde kunna förebringas för att låta lagens bestämmelser i 1 vad avser det fullständiga ordnandet av dessa anstalter träda i kraft, tillåter jag mig, herr talman, att yrka bifall till reservationen.</w:t>
      </w:r>
    </w:p>
    <w:p>
      <w:pPr>
        <w:pStyle w:val="Heading2"/>
      </w:pPr>
      <w:r>
        <w:t>4. Anders Paulsen (Socialdemokraterna, man)</w:t>
      </w:r>
    </w:p>
    <w:p>
      <w:r>
        <w:rPr>
          <w:b w:val="0"/>
        </w:rPr>
        <w:t>Herr talman! Då man hade att taga hand om försumliga familjeförsörjare enligt bestämmelserna i 1871 års fattigvårdslag, var förfarandet så omständligt och besvärligt, att man i de flesta fall fick låta saken bero; den försumlige familjeförsörjaren fick sköta sig bäst han ville, och fattigvården fick taga hand om familjen.</w:t>
        <w:br/>
        <w:br/>
        <w:t>Är 1918 skedde en förbättring på detta område genom den då antagna lagen, vari stadgas, att familjeförsörjare, som på grund av lättja eller liknöjdhet försummar sin familj, så att den måste tilldelas understöd, kan av fattigvårdsstyrelsen åläggas arbete. Tredskas han, kan han av Konungens befallningshavande ådömas tvångsarbete.</w:t>
        <w:br/>
        <w:br/>
        <w:t>Denna lag är emellertid ännu så länge en lag på papperet och har ännu icke kommit i full tillämpning i verkligheten, beroende därpå att om jag undantar de stora städerna med deras arbetsinrättningar och de lantkommuner, som ha jordbruk till sina försörjningsinrättningar, så har man ingen möjlighet att tillämpa lagen i detta avseende, enär man icke har något arbete att giva dessa människor. Följden blir också, att de gå fullständigt fria.</w:t>
        <w:br/>
        <w:br/>
        <w:t>Enligt 1918 års lag skola ju alla län äga tillgång till arbetshem, och enligt samma lag äro de skyldiga att till den 1 januari 1929 ha dylika arbetshem färdiga, och då den dagen kommer skall alltså 1918 års fattigvårdslag vara i full tillämpning. Nu har emellertid Svenska landskommunernas förbund ingått till Kungl. Maj:t med begäran om uppskov med iordningställandet av dessa arbetshem under ytterligare fem år. Regeringen har dock icke funnit skäl att framlägga proposition i ärendet. TI stället har man motionsledes framfört dessa önskemål, och dessa motioner hava behandlats av andra lagutskottet, som å sin sida icke heller funnit skäl att gå motionärerna till mötes. För min del är jag synnerligen tillfredsställd med andra lagutskottets hållning i det avseendet, ty jag vet, att där man icke har arbetshem, där är det heller icke möjligt att tilllämpa 1918 års fattigvårdslag fullt riktigt.</w:t>
        <w:br/>
        <w:br/>
        <w:t>I Malmöhus län hava vi vår arbetshemsfråga klar, och jag skall med ett par exempel visa, hur det ställer sig, då man har arbetshem i länet jämfört med, hur det ställer sig, där inga dylika hem finnas. Bland familjeförsörjare med utomäktenskapliga barn fanns det i min kommun tre, som icke till något pris ha kunnat förmås att fullgöra sina skyldigheter. Att ordna med införsel i lön har det icke funnits någon möjlighet till, enär vederbörande saknade någon för detta indrivningssätt lämplig lön och att tillgripa utmätning var lika omöjligt, enär utmätningsbara tillgångar saknades. Barnavårdsnämnden beslöt då vid sammanträde den 2 mars detta år, att dessa tre försumliga familjeförsörjare skulle intagas 1 arbetshemmet. Vi "ville emellertid giva dem en sista möjlighet att undgå arbetshemmet, och därför tillställde jag dessa personer samtidigt med ett utdrag av protokollet från det sammanträde, då barnavårdsnämndens ovannämnda beslut fattades, ett meddelande om att beslutet omedelbart komme att</w:t>
        <w:br/>
        <w:br/>
        <w:t xml:space="preserve">sättas I verkställighet, om de icke inom 10 dagar genom betalning visat, att de hade för avsikt att fullgöra sin försörjningsplikt. Redan tre dagar därefter sändes 100 kronor från den ena försumliga familjeförsörjaren jämte en försäkran om att han för framtiden skulle vara punktlig, och på femte dagen fick jag 50 kronor från den andre med en liknande försäkran. Och från den tredje, som utom de utomäktenskapliga barnen har </w:t>
      </w:r>
      <w:r>
        <w:rPr>
          <w:b/>
        </w:rPr>
        <w:t>hustru²</w:t>
      </w:r>
      <w:r>
        <w:rPr>
          <w:b w:val="0"/>
        </w:rPr>
        <w:t xml:space="preserve"> och två barn att försörja, fick jag 20 kronor jämte en skrivelse, där han bönföll om förskoning från arbetshemmet och därjämte en försäkran om att han för framtiden skulle vara en mycket punktlig betalare.</w:t>
        <w:br/>
        <w:br/>
        <w:t>Jag skulle kunna giva många sådana exempel från fattigvårdens område, men jag skall icke upptaga kammarens tid härmed, utan skall nöja mig med de anförda exemplen. Dessa exempel tala sitt eget klara och tydliga språk och redan arbetshemmens existens utövar en viss psykologisk inverkan å dessa försumliga familjeförsörjare, ty medvetandet om att de kunna riskera att bliva intagna å dessa hem gör, att de betänka sig mer än en gång, innan de underlåta att fullgöra sina skyldigheter.</w:t>
        <w:br/>
        <w:br/>
        <w:t xml:space="preserve">Vad ålderdomshemmen och deras byggande vidkommer måste jag säga, att jag anser, att 10 år är en fullt tillräcklig tid härför, och jag beklagar, att andra lagutskottet icke stannat därvid eller endast föreslagit Kungl. Maj:ts prövning i något särskilt fall. En annan anledning till att man icke har ålderdomshemsfrågan ordnad i större utsträckning än som är fallet anser jag för min del bero därpå, att man i regel är böjd för att bygga för stort. Det ser ut, som om man tänkte, att här skola alla understödstagarna inom kommunen samlas. Detta är enligt min mening en felaktig uppfattning. Man glömmer, att vi människor nu en gång äro sådana, att vi, hellre än vi flytta in i ett nytt ålderdomshem, hur väl och fint inrättat det än är, sitta kvar i våra gamla kyffen, huru små och trånga de än äro. Först när man inte kan taga vara på sig själv och ej kan förrätta sina små sysslor, är det, som man med tacksamhet flyttar in i ålderdomshemmet, och då är stunden inne att placeras där, men inte förr. Flyttar man in vederbörande förr, ja då kan man vara förvissad om, att vederbörande blir missnöjd, och om det icke är en sällsynt god människa, kommer </w:t>
      </w:r>
      <w:r>
        <w:rPr>
          <w:b/>
        </w:rPr>
        <w:t>hon²</w:t>
      </w:r>
      <w:r>
        <w:rPr>
          <w:b w:val="0"/>
        </w:rPr>
        <w:t xml:space="preserve"> att sprida detta missnöje inom hemmet, och sedan missnöjet en gång kommit in där, är det inte så lätt att utrota det. En utsliten och orkeslös människa, som placeras på ålderdomshemmet, kommer däremot att trivas där och känna sig tacksam för den omvårdnad, som där skänkes. Följer man dessa riktlinjer, blir icke ålderdomshemmets byggande en sådan dyr historia, som skaffar människorna bekymmer och giver anledning till framställningar om uppskov med byggandet av ålderdomshemmen.</w:t>
        <w:br/>
        <w:br/>
        <w:t>Vidare har man som skäl för uppskov anfört att man icke vet, hur det skall ordnas för de kroniskt sjuka. Jag måste säga, att ett sådant yttrande vittrar om grov okunnighet om hithörande förhållanden. Ty hur det än kommer att ordnas med dessa sjuka, blir det dock aldrig så, att varje kommun för sig skall ordna den saken. Det är ju statens och landstingens sak, och om kommunerna på grund av att staten och landstingen äro likgiltiga för dessa kategorier sjuka, nödgas taga hand om dem, blir det i alla fall inte varje kommun för sig som i så fall kommer att ordna den saken, utan då blir det en mängd kommuner, som komma att slå sig tillsammans om varje anstalt, och detsamma gäller om sinnessjukanstaltsfrågan. Det kan väl aldrig på allvar sättas i fråga att ställa frågan om anstalter för de kroniskt sjuka och sinnessjuka i samband med ordnandet av fattigvårdens byggnadsfråga.</w:t>
        <w:br/>
        <w:br/>
        <w:t>Så har man framhållit, att man bör invänta billigare byggnadskostnader. För min del vill jag då säga, att jag tror, att vi nu ha kommit så långt ner i den vägen, som vi kunna komma, och billigare byggnadskostnader under överskådlig tid tror åtminstone inte jag på. Det finns inga som helst bärande skäl</w:t>
        <w:br/>
        <w:br/>
        <w:t>för uppskov. De skäl, herr förste vice talman, som man här kommer med, äro svepskäl dikterade av bristande vilja och ingenting annat, och om riksdagen går andra lagutskottets väg, som jag. förmodar den gör, skola kammarens ledamöter få se, att man, när denna frist på två år utlöper, skall skaffa sig nya svepskäl för ytterligare uppskov, och så kommer man att hålla på, så länge man överhuvud taget kan hoppas få något sådant.</w:t>
        <w:br/>
        <w:br/>
        <w:t>Jag har, herr förste vice talman, i det läge, som frågan ligger, intet annat yrkande än bifall till andra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