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1765</w:t>
      </w:r>
    </w:p>
    <w:p>
      <w:r>
        <w:rPr>
          <w:b/>
        </w:rPr>
        <w:t xml:space="preserve">Datum: </w:t>
      </w:r>
      <w:r>
        <w:t>1928-04-14</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Paulsen (Socialdemokraterna, man)</w:t>
      </w:r>
    </w:p>
    <w:p>
      <w:r>
        <w:rPr>
          <w:b w:val="0"/>
        </w:rPr>
        <w:t>Herr talman! Jag vill börja med att säga, att jag anser det vara högt på tiden, att ett sådant förslag om begränsning av arvsrätten kommit fram, ty helt säkert grundar sig vår nu gällande arvsrätt på helt andra förhållanden än de nuvarande. Givetvis har den obegränsade arvsrätten sin grund i den känslan, att slikten bör hålla ihop. Man styrkes så mycket mer i den tankegången, då man vet, att i så avlägsna tider, som då våra landskapslagar voro gällande, hade släkten skyldighet att draga försorg om dem av sina medlemmar, som voro fattiga, sjuka eller orkeslösa. När så var förhållandet, då förstår man ju, att detta också borde gälla i fråga om arv. Emellertid avkopplades denna släktens skyldighet att taga hand om de fattiga redan på ett mycket tidigt stadium av svenska folkets historia. Redan under medeltiden finna vi, att denna skyldighet hade avlyfts och i stället lagts på det allmänna, på kyrkan. Visserligen redde kyrkan upp den saken på ett mycket enkelt sätt. Den enbart organiserade tiggeriet. I varje fall var emellertid denna skyldighet avlyft från släkten redan på detta tidiga stadium av svenska folkets historia. Hur sedan arvsrätten kunnat hålla sig kvar genom tiderna, synes mig ganska oförklarligt.</w:t>
        <w:br/>
        <w:br/>
        <w:t>Vad nu frågan om kusiners arvsrätt vidkommer, vill jag för min del säga, att jag finner det fullt riktigt, att arvsrätten avklippes nedåt efter syskon, så att kusiner icke längre få ärva varandra. Man kan ju icke säga, att kusiner i vår tid stå varandra nära på sådant sätt, att de böra taga arv efter varandra. Man har sagt här i dag, att kusiner ofta ha egendomsgemenskap med varandra, och att de av den orsaken böra kunna ärva varandra. Till detta vill jag för min del endast säga, att under de många år — jag tror, det är ett tjugutal — som jag i ganska stor utsträckning har sysslat med arvsförhållanden, har jag icke i något enda fall påträffat egendomsgemenskap mellan kusiner. Därför vågar jag, utan att överdriva, komma med det påståendet, att i de fall, där kusiner haft egendomsgemenskap med varandra, har denna härlett sig av helt andra förhållanden, än att de varit kusiner. För övrigt är ju testamentsrätten obegränsad. Om kusiner i något enstaka fall stå varandra mycket nära, finns ju alltid den möjligheten öppen, att de kunna testamentera till varandra.</w:t>
        <w:br/>
        <w:br/>
        <w:t>Medan jag nu har ordet, skulle jag också vilja säga några ord om de utomäktenskapliga barnens arvsrätt. Det är klart, att om jag helt och hållet ser saken från de inom äktenskapet födda barnens synpunkt, skall jag utan tvivel komma till samma resultat, som utskottet har gjort, ty naturligtvis måste det kännas hårt för barn, födda inom äktenskapet, att då de gå att skifta arv efter sin far, anmäler sig en kanske för dem fullständigt främmande person, som är berättigad att dela arvet med dem.</w:t>
        <w:br/>
        <w:br/>
        <w:t xml:space="preserve">Jag kan emellertid icke nöja mig med att se saken enbart från de inom äktenskapet födda barnens synpunkt. Jag måste även se den från de utomäktenskapliga barnens synpunkt, och då ställer sig saken en smula annorlunda. Jag kan ändå icke komma ifrån, att de utom äktenskapet födda barnen ha haft vida svårare än de inom äktenskapet födda. Hur god och hur uppoffrande en </w:t>
      </w:r>
      <w:r>
        <w:rPr>
          <w:b/>
        </w:rPr>
        <w:t>mor²</w:t>
      </w:r>
      <w:r>
        <w:rPr>
          <w:b w:val="0"/>
        </w:rPr>
        <w:t xml:space="preserve"> till ett utom äktenskapet fött barn än har varit, så har </w:t>
      </w:r>
      <w:r>
        <w:rPr>
          <w:b/>
        </w:rPr>
        <w:t>hon²</w:t>
      </w:r>
      <w:r>
        <w:rPr>
          <w:b w:val="0"/>
        </w:rPr>
        <w:t xml:space="preserve"> dock icke haft förmåga att ge sitt barn det skyddade hem, som de barn, som äro födda i äktenskapet, 'ha haft. Kanhända har barnet utackorderats till främmande människor för att erhålla fostran och vård. Det är ju ett mycket vanligt förhållande i våra dagar. Kanhända modern också ingått äktenskap och barnet fått följa med i det nya hemmet, fastän ovälkommet. Hur som helst ha dessa utomäktenskapliga barn haft vida svårare än de inom äktenskapet födda barnen. Jag vill fördenskull icke vara med om att ytterligare hålla på den orättvisa, som ligger däruti, att utomäktenskapliga barn icke skola få ärva fader och faders fränder. De böra enligt min mening lika</w:t>
        <w:br/>
        <w:br/>
        <w:t xml:space="preserve">väl ärva fader och faders fränder, som de ärva </w:t>
      </w:r>
      <w:r>
        <w:rPr>
          <w:b/>
        </w:rPr>
        <w:t>moder²</w:t>
      </w:r>
      <w:r>
        <w:rPr>
          <w:b w:val="0"/>
        </w:rPr>
        <w:t xml:space="preserve"> och moders fränder, v. s. de böra vara fullt och helt jämställda med de inom äktenskapet födda arnen.</w:t>
        <w:br/>
        <w:br/>
        <w:t xml:space="preserve">Här uppkommer emellertid en särskild svårighet, där jag för min del varit mycket tveksam, och det gäller de så kallade ovissa fallen. Var och en, som sysslat med barnavårdsfrågor, vet, att bland de utomäktenskapliga barnen finnas en del så kallade ovissa fall, där man icke med säkerhet vet vem som är barnets far, därför att modern haft förbindelser med flera män under sådan tid, att vilken som helst kan vara barnets far. Om jag för ett ögonblick söker tänka mig in i ett sådant barns ståndpunkt, måste jag fråga mig, vad det skall tänka, när det en gång nått den ålder, att det begriper, att den </w:t>
      </w:r>
      <w:r>
        <w:rPr>
          <w:b/>
        </w:rPr>
        <w:t>mor²</w:t>
      </w:r>
      <w:r>
        <w:rPr>
          <w:b w:val="0"/>
        </w:rPr>
        <w:t xml:space="preserve">, som det kanhända satt så högt, och som kanske varit en utomordentligt god och präktig </w:t>
      </w:r>
      <w:r>
        <w:rPr>
          <w:b/>
        </w:rPr>
        <w:t>mor²</w:t>
      </w:r>
      <w:r>
        <w:rPr>
          <w:b w:val="0"/>
        </w:rPr>
        <w:t xml:space="preserve"> — det är icke alls uteslutet — ändå trots allt varit en så stor slarva, att det förefunnits svårighet att avgöra vem som varit hans eller </w:t>
      </w:r>
      <w:r>
        <w:rPr>
          <w:b/>
        </w:rPr>
        <w:t>hennes²</w:t>
      </w:r>
      <w:r>
        <w:rPr>
          <w:b w:val="0"/>
        </w:rPr>
        <w:t xml:space="preserve"> far. Jag tror, att ett sådant medvetande måste bliva ett mycket tungt arv för det barnet att bära, och jag tror också, att ett sådant medvetande måste sätta märken 1 det barnets själ, som äro allt annat än behagliga att behöva draga på genom livet.</w:t>
        <w:br/>
        <w:br/>
        <w:t xml:space="preserve">Jag upprepar, att jag varit mycket tveksam på denna punkt, men jag har efter moget övervägande kommit till det resultatet, att jag icke vill vara med om något särskiljande, utan jag anser, att även dessa barn och sålunda samtliga utomäktenskapliga barn, så snart ett faderskap med rätt eller orätt blivit fastställt, böra ärva fader och faders fränder, på samma sätt som de ärva </w:t>
      </w:r>
      <w:r>
        <w:rPr>
          <w:b/>
        </w:rPr>
        <w:t>moder²</w:t>
      </w:r>
      <w:r>
        <w:rPr>
          <w:b w:val="0"/>
        </w:rPr>
        <w:t xml:space="preserve"> och moders fränder. De skola sålunda fullt och helt jämställas i arvshänseende med de inom äktenskapet födda barnen.</w:t>
        <w:br/>
        <w:br/>
        <w:t>Jag kommer därför, herr talman, när vi komma till denna punkt på föredragningsordningen, att förena mig med dem, som yrka bifall till den vid den punkten avgivna reservationen.</w:t>
      </w:r>
    </w:p>
    <w:p>
      <w:pPr>
        <w:pStyle w:val="Heading2"/>
      </w:pPr>
      <w:r>
        <w:t>2. Arvid Lindman (Högerns riksdagsgrupp, man)</w:t>
      </w:r>
    </w:p>
    <w:p>
      <w:r>
        <w:rPr>
          <w:b w:val="0"/>
        </w:rPr>
        <w:t>Herr talman! När herr statsrådet och chefen för justitiedepartementet på förmiddagen höll sitt anförande i denna fråga, åhörde jag det såsom vanligt, när det gäller anföranden från hans sida, med det allra största intresse. Man fick av hans anförande en mycket god överblick över förhållandena på arvsrättens område såväl i vårt land som i en del andra länder. Vi fingo ju hela denna överblick över arvssfärer och arvsordning och arvsfördelning o. s. v. Det var.-med andra ord en mycket intressant redogörelse.</w:t>
        <w:br/>
        <w:br/>
        <w:t>När sedermera herr statsrådet kom in på frågan om det förslag, som nu föreligger från Kungl. Maj:ts sida, kan jag icke neka till att det föreföll, som om den vanliga logiska skärpan icke riktigt var densamma, som den brukar vara. Jag tyckte mig till och med finna vissa motsägelser i hans anförande från det ena ögonblicket till det andra.</w:t>
        <w:br/>
        <w:br/>
        <w:t>När vi första gången läste lagberedningens förslag i denna fråga, är det givet, att vi litet var stannade vid frågan om hur långt arvsrätten skulle kunna tagas bort, eller med andra ord, för att sätta fingret på den ömma. punkten, huruvida kusiners arvsrätt skall tagas bort eller få stå kvar. För min del gjorde jag den reflexionen, att jag tyckte det var att gå för långt att laga bort kusiners arvsrätt av många skäl, som jag icke för ögonblicket skall gå in på. Det intresserade mig därför 1 högsta grad att höra, att herr statsrådet i sitt anförande sade, att han också hade gjort samma reflexion beträffande kusiners arvsrätt. Han hade särskilt funnit det stötande att taga bort kusiners arvsrätt beträffande landsbygden, där det finns en mera stadigvarande befolkning och där släktskapsbandet mellan kusiner består, därför att anförvanterna befinna sig på samma plats. Däremot förmenade han, att ett</w:t>
        <w:br/>
        <w:br/>
        <w:t>borttagande icke kunde kännas på samma sätt för städernas befolkning, som hade en mycket större rörlighet. I varje fall var det uppenbart, att herr statsrådet beträffande landsbefolkningen hyste rätt så starka tvivel, men han tröstade sig med att även på landsbygden börjar det numera finnas en rätt stor rörlighet. Kusinerna kunna ju ha flyttat från orten, de ha kanske flyttat ända till Amerika o. s. v. Det är ju icke sagt, yttrade han, att arvlåtaren skulle vilja, att arvet skulle gå till dessa så avlägset boende kusiner, med vilka han icke haft någon starkare beröring.</w:t>
        <w:br/>
        <w:br/>
        <w:t>Herr statsrådet kom slutligen till det resultatet, att de betänkligheter, som han hade hyst mot ett borttagande av kusiners arvsrätt, hade övervunnits, och han motiverade detta med att de i varje fall kunna testamentera. Det gjorde ju redan de gamla romarna, och det skulle väl vårt folk också nu kunna göra. De kunna testamentera, så att arvet kommer till de kusiner, som de vilja lämna ett arv till, och icke till dem, som de icke vilja ge något.</w:t>
        <w:br/>
        <w:br/>
        <w:t>Ja, herr talman, det är mycket lätt att säga, att de kunna testamentera, men nog veta vi väl alla, vilken stor obenägenhet som i själva verket råder mot att testamentera, och detta av en mångfald skäl. En talare har redan påpekat, att man icke vill testamentera, därför att man tror, att man då skall dö. Det finns alldeles säkert en mängd människor, som icke vilja göra det av det skälet. Ett annat skäl är, att man förmenar, att om man testamenterar till vissa personer men utesluter andra, kommer detta förr eller senare ut, och man vill icke taga på sig obehaget att komma i tvist med sina släktingar och kanske få uppbära förebråelser, därför att man testamenterat till somliga men icke till andra. Det finns en ofantlig mängd olika anledningar till att man icke vill testamentera.</w:t>
        <w:br/>
        <w:br/>
        <w:t>Man gör då den reflexionen, att även om folk skulle följa herr statsrådets uppmaning och i större omfattning än hittills testamentera, så finns det i alla fall en hel del, som icke göra det. I de fall, då man icke brytt sig om att testamentera, blir det i alla fall så, att kusiner icke få ärva. Jag frågar då: Hur vet herr statsrådet, att en arvlåtare, som icke testamenterat, skulle ha föredragit att låta arvet gå till arvsfonden i stället för att lämna det till sina närboende kusiner även med risk, att de mera avlägset kanske i Amerika boende kusinerna fått en del med av arvet? Det är ju lika omöjligt att yttra sig om vad arvlåtaren skulle tycka om den saken som att yttra sig om en annan fråga, som herr statsrådet var inne på i detta sammanhang, och som han menade vara fullkomligt olöslig. Det går naturligtvis icke att yttra sig om det, men faktum är, att det mycket väl kan hända, att om arvlåtaren kunde leva upp, skulle han kanske alls icke vilja låta arvet gå till arvsfonden utan hellre låta det gå till kusiner, även med risk som sagt att en del kusiner skulle få med av arvet. vilka han icke särskilt önskat ge något till.</w:t>
        <w:br/>
        <w:br/>
        <w:t>Då emellertid herr statsrådet diskuterade frågan om kusiners arvsrätt, föreföll det mig, som om frågan om arvsfondens storlek hade fått spela en mycket stor roll. Han menade, att om man icke tog bort kusinarven, skulle arvsfonden bliva för liten. Detta var alltså ett ytterligare skäl att taga bort kusiners arvsrätt.</w:t>
        <w:br/>
        <w:br/>
        <w:t>Jag frågar mig då, hur dessa båda saker logiskt hänga ihop med varandra. Herr statsrådet råder å ena sidan arvlåtaren att testamentera, och å andra sidan gör han den reflexionen, att om kusiner få ärva, får arvsfonden för litet. Såvitt jag kan förstå, slå dessa båda saker ihjäl varandra, och det ligger en ganska stor motsägelse i detta. Om herr statsrådet får rätt i sin uppfattning, att testamente kommer att användas i mycket större omfattning, så får ju icke heller arvsfonden något.</w:t>
        <w:br/>
        <w:br/>
        <w:t>Jag kan icke neka till, herr talman, att jag tycker, att när man går till en lagändring på detta mycket viktiga och ingripande område, skulle man</w:t>
        <w:br/>
        <w:br/>
        <w:t>haft testamentsrätten med på samma gång. Nu är det visserligen sant, att man säger, att testamentsrätten icke skall beröras. Härom veta vi Ju icke, hur det blir till sist, när denna sak ligger till avgörande i riksdagen. Jag kan emellertid icke se något allvarligt skäl att icke taga testamentsrätten med på samma gång, ty om ändringen av arvsrätten skjutes fram ett år, har detta icke mycken betydelse gentemot fördelen att få med testamentsrätten på samma gång. Det enda skäl, som jag sett åberopas, är, att utskottet icke skulle hinna med att behandla både testamentsrätten och arvsrätten på en gång vid samma riskdag. Det skälet böjer jag mig icke för, ty om icke första lagutskottet kan behandla detta, kan alltid ett särskilt utskott tillsättas för att behandla det.</w:t>
        <w:br/>
        <w:br/>
        <w:t>På tal om denna fråga om testamentena vill jag säga, att jag åtminstone icke kunde observera, att herr statsrådet i sitt långa anförande på något ställe uttalade sig om testamentsrätten beträffande dessa, som icke kunna testamenlera, såsom omyndiga och andra. Där är Ju testamentsrätten värdelös. Där kan det icke bliva något testamenterande av, utan saken går sin gilla gång, d. v. s. kvarlåtenskapen går till arvsfonden.</w:t>
        <w:br/>
        <w:br/>
        <w:t>Slutligen kan jag icke neka till att när man både i den kungl. propositionen och i utskottets utlåtande talar om att här är icke tal om några fiskaliska synpunkter, så gör man det likväl. J ag vill genast förklara, att jag mycket väl ser skillnaden mellan fiskaliska synpunkter i den bemärkelsen, utskottet syftar på, och de synpunkter, som skulle motsvara dem beträffande arvsfonden. I själva verket hänger det icke bra ihop, ty det blir ändå på sätt och vis fiskaliska synpunkter, om man resonerar så, att man tager bort kusinernas arvsrätt därför, att arvsfonden skall ökas så mycket som möjligt.</w:t>
        <w:br/>
        <w:br/>
        <w:t>Ja, herr talman, herr statsrådet prisade sig lycklig, att han stod i mitten. Jag kunde se på honom, när han uttalade det, att han kände en stark tillfredsställelse över att han stod i mitten, ty han lade till sitt yttrande ett ord, nämligen att detta också vore det klokaste. Ja, nu skall Jag icke diskutera, huruvida det är det klokaste att ställa sig i mitten. Men Jag skulle vilja säga, att jag tror, att herr statsrådet misstager sig i fråga om detta. Jag tror icke, att han står i mitten, utan Jag tror, att han står ganska nära den ena kanten. Om han hört på de yttranden, som förekommit i kammaren, och när han läst betänkandet, tror jag, att därav framgår, att emellan de politiska uppfattningar, som göra sig gällande på olika håll här i kammaren, har herr statsrådet kommit ganska nära den ena kanten. Och om herr statsrådet tänker sig, att han ställt sig så, att han är mitt emellan den gamla nedärvda uppfattningen, som starkast gör sig gällande på landsbygden med dess mera bofasta befolkning, och å andra sidan den uppfattning, som finnes hos den mera rörliga befolkningen i städer och industricentra, då är jag övertygad, att fom statsrådet står icke heller där i mitten utan att han står på den ena</w:t>
        <w:br/>
        <w:br/>
        <w:t>Det är icke så farligt, sade herr statsrådet, om man börjar rucka litet på det bestående. Det är en sats, som jag för min del vill bestrida. Det kan vara mycket farligt att börja rucka på det bestående. Han menar, att om man bara skär bort det, som man är alldeles säker på att kunna skära bort, mot vars bortskärande det icke är någon tvekan, men man å andra sidan bibehåller det, som man bör behålla, så borde alla kunna vara med om att detta är icke så farligt, ty därigenom bibehåller man i lagförslaget någonting, som sedermera icke ändras så lätt utan blir bestående.</w:t>
        <w:br/>
        <w:br/>
        <w:t>Ja, herr talman, det finnes en annan sats, som kan användas. Om man börjar att utan tillräckligt starka skäl rucka, händer det nog, att det blir ruckat vidare av andra, som hava större intresse av att låta ruckningen pågå. Det är väl på det sättet, att om man bara läser de reservationer, som finnas vid</w:t>
        <w:br/>
        <w:br/>
        <w:t>detta betänkande, ser man genast, att det icke är någon allmän tillfredsställelse med detta, som föreligger här i utskottets betänkande. Alla äro visst icke tillfredsställda. Somliga tycka, att man icke har gått tillräckligt långt. Det kommer säkerligen att bliva rätt svåra anlopp för att man skall gå ytterligare på denna väg. Jag är övertygad, att herr statsrådet är besjälad av en alldeles bestämd uppfattning, att i en sådan fråga som denna skall man icke rucka och ändra, i varje fall icke för ofta. Men då får jag säga, att i en punkt, som jag strax skall komma till, har man icke tagit hänsyn till detta. Det är nämligen i en punkt, där man gjorde en ändring så sent som 1920.</w:t>
        <w:br/>
        <w:br/>
        <w:t>Så ber jag, herr talman, att få yttra några ord om äkta makars arvsrätt. Det är ett kapitel, som är ganska svårt att bedöma. Herr statsrådet menade också detta. Ja, han gick så långt, att han sade, att problemet är olösligt. Det tror jag, att han har rätt uti. Det är olösligt att säga, i vad mån en efterlevande äkta make skall hava brorslotten eller alltihop eller i vad mån den avlidnes släktingar skola få mer eller mindre. Det är olösligt. Jag höll på att säga, att det är rent av en smakfråga, vilket man gör. Men det kan väl vara frågan, om det sätt, varpå utskottet löst saken, verkligen är så utomordentligt tillfredsställande. Statsrådet har, i likhet med lagberedningen, i den kungl. propositionen framlagt en lösning, enligt vilken, som vi alla veta, den efterlevande maken skulle sitta där och få alltihop men vara skyldig att återlämna det efter sin död. Statsrådet har vidare i propositionen föreskrivit åtgärder för att den efterlevande icke skulle kunna förskingra den del, han sålunda disponerar, om jag så får säga, under sin återstående livstid. Sålunda har statsrådet velat stadga detta om ersättning för gåva och för en alltför hög livsföring o. s. v., och slutligen, att vederlag skulle kunna givas. Ja, det där lät ju ganska förståndigt, tyckte jag, då det låg på det sättet. Då skulle det skipas rättvisa. Vardera släkten skulle få sitt förr eller senare. Men då förstår jag icke riktigt, hur statsrådet sedan kan utan vidare vara med på de mycket genomgripande ändringar, som utskottet gjort i detta fall. Ty om jag läser utskottets lagförslag rätt, återstår där av det hela icke något annat, än att om den efterlevande maken ger bort något i form av gåva eller på ett sätt, som motsvarar gåva, så skall detta tagas ut efter hans död. Avskiljandet är borttaget och de onödiga kostnaderna för livsföringen borttagen. Det blir ingen ersättning för den. Men blir det då full rättvisa skipad mellan dessa båda parter, nämligen den efterlevande makens släkt och den dödes släkt? Jag tycker, att i det fallet har man väl ändå rätt betänkligt avvikit från den kungl. propositionen. Jag kan icke tycka annat, än att det borde vara rätt svårt för herr statsrådet att acceptera en sådan förändring.</w:t>
        <w:br/>
        <w:br/>
        <w:t>Herr statsrådet talade, vill jag minnas, om en häst, som blivit stulen och som ägaren fick återköpa. Det intresserade mig alldeles särskilt, därför att jag varit i det predikamentet en gång att få återköpa en häst. Det var under den värsta dyrtiden, och hästen kostade 2,800 kronor, ett förskräckligt pris. Jag fick som sagt återköpa hästen. Herr statsrådet sade, att frågan om det rätta eller orätta i ett sådant fall kan bedömas från skilda synpunkter. Det var hans häst, som fick den bortstulen, men ändå får han betala den så dyrt. Den andre, som köpte hästen av tjuven, var i god tro, och han ville icke heller bli av med hästen. Det finnes naturligtvis många lösningar, som statsrådet sade, och problemet är löst olika i olika länder.</w:t>
        <w:br/>
        <w:br/>
        <w:t>Likadant är det med den nu föreliggande frågan. Det är en lösning, som finnes i den nu gällande 1920 års lag, nämligen att efterlevande maken och släktingarna taga hälften var. Jag undrar emellertid, när man lägger allt tillsammans i denna fråga, om icke den största tillfredsställelsen skulle uppstå, ifall man gjorde som högerreservanterna här föreslagit, d. v. s. tills vi-</w:t>
        <w:br/>
        <w:br/>
        <w:t>dare behölle den bestämmelsen. Ytterligare ett skäl härför är, att man icke bör ändra på arvslagar, som bestått i allenast åtta år.</w:t>
        <w:br/>
        <w:br/>
        <w:t>Men här säger herr statsrådet: Så skall man icke göra, utan man skall handla. Ja, det är nog bra, förstås, att man handlar. Men man kan Ju ändå tänka sig för, om det är klokt att handla så snart som åtta år, efter det man gjort en lag. Men statsrådet tröstade sig med, att om vi handla orätt, så få vi ändra det sedan. Här vill jag icke följa med herr statsrådet. Taga vi fel denna gång, få vi nog låta det bestå åtminstone längre tid än åtta år. Det är min övertygelse, att så måste bli fallet, i synnerhet när det gäller ett så viktigt och ingripande område som detta.</w:t>
        <w:br/>
        <w:br/>
        <w:t>Ja, slutligen, herr talman, om jag icke tröttar kammaren för mycket, ber jag att få säga ytterligare några ord. Jag är visserligen icke så insatt i detta ämne, som jag borde vara, men jag vill ändå säga några ord om arvsfonden, innan jag slutar. Även på den punkten har herr statsrådet stött sig från början, alldeles som jag. Jag stötte mig genast på arvsfonden och undrade, vad det vore för en besynnerlig inrättning, att man toge en del arv, som i allmänhet icke bleve stora utan endast mindre, samt av dem bildade en arvsfond. Det är fonderade statsmedel. Dessutom bestämmes det, att dessa statsmedel skola användas för ett bestämt ändamål. Det var det, som statsrådet särskilt stött sig på. Det tycker jag, att han hade alldeles rätt uti. Det är mycket betänkligt att gå in på dessa vägar, att man använder de och de inkomsterna för de och de utgifterna. Jag har hela tiden, sedan jag började läsa lagberedningens förslag, behållit min uppfattning i denna fråga, att man icke bör använda statsmedel för visst ändamål. Statsrådet åter har övergivit sin uppfattning. Men han säger, att detta icke är någon statsfinansiell fråga, och det kan jag giva honom rätt uti, så länge dessa medel icke skola användas för sådana ändamål, där verkliga statsutgifter annars skulle vara påkallade. Men trots detta uttalande vill justitieminitsern få in så mycket som möjligt i arvsfonden. Han säger, att man måste hava ett ändamål, som människor tycka om, och det ändamålet är nu det här, att medlen skola användas till uppfostran av barn o. s. v. Annars, säger statsrådet, när de gamla sitta och vänta på döden, tänka de, att det skall bli danaarv och gå till statskassan, och då blir det använt till att bygga gentila hus och till arbetslöshetsbidrag o. s. v. Men hava de detta ändamålet, ja, då känna de sig nöjda och lugna. Då bry de sig icke om att testamentera utan de låta det gå till detta ändamål.</w:t>
        <w:br/>
        <w:br/>
        <w:t>Nu vill emellertid herr statsrådet, att de skola testamentera, och då växer Ju icke arvsfonden, som jag nyss påpekade. Jag frågar: kan det icke vara lika bra, att en sådan gammal människa eller sådana gamla makar, som vänta på döden, själva tänka sig in i vad deras penningar skola användas till? Kanske de kunna hitta på något, som är lika bra och nyttigt, som att de gå till arvsfonden.</w:t>
        <w:br/>
        <w:br/>
        <w:t>Jag kan, herr talman, när jag tänker igenom vad herr statsrådet sade, icke finna annat, än att det finnes åtskilliga motsägelser i det. Men det är klart, att det kan lätt bliva på det sättet. Jag finner det förklarligt, då man såsom herr justitieministern tycks vara medveten om, att det stora flertalet människor icke hyser någon vidare sympati för samhällets arvsrätt, men man i alla fall skall gå fram med förändringar i arvslagstiftningen i den riktningen.</w:t>
        <w:br/>
        <w:br/>
        <w:t>Frågan är för mig, herr talman, om man icke i detta förslag gått fram längre och med hårdare händer, än vad som står i överensstämmelse med den uppfattning och med de gamla traditioner och sedvänjor, som arbetat sig in under århundraden i en mycket stor del av vårt svenska folk.</w:t>
      </w:r>
    </w:p>
    <w:p>
      <w:pPr>
        <w:pStyle w:val="Heading2"/>
      </w:pPr>
      <w:r>
        <w:t>3. Johan Thyren (Utan partibeteckning, man)</w:t>
      </w:r>
    </w:p>
    <w:p>
      <w:r>
        <w:rPr>
          <w:b w:val="0"/>
        </w:rPr>
        <w:t>Herr talman! Jag ber blott att få säga några ord som replik till en och annan punkt i herr Lindmans anförande.</w:t>
        <w:br/>
        <w:br/>
        <w:t>Han ville beskylla mig för logisk motsägelse på det sättet, att när jag ville använda testamentsfriheten såsom ett medikament till förmån för dessa, som skulle vilja hava sin kvarlåtenskap över till kusinerna, så hade jag därmed berövat arvsfonden motsvarande belopp. När jag å ena sidan ville gynna arvsfonden men å andra sidan behålla testamentsfriheten, strede detta, menade han, mot vartannat. Jag är ingalunda sinnad att erkänna detta som en logisk motsägelse. Tvärtom förefaller lösningen ganska enkel. Det finnes bland alla dessa, vilkas kvarlåtenskap skulle gå till kusinerna, en del — hur stor vet jag ej, kanske en fjärdedel, kanske en femtedel — som vill, att kvarlåtenskapen skall tillfalla kusinerna. De testamentera, och då går den till kusinerna. Men kvarlåtenskapen efter dem, som icke taga detta steg, går utan vidare till arvsfonden efter lagens bestämmelser.</w:t>
        <w:br/>
        <w:br/>
        <w:t>Om vi icke hade denna bestämmelse om kusinernas avskärande från kvarlåtenskapen, hur skulle det då gå? Jo, då skulle allt gå till kusinerna och ingenting till arvsfonden. Då må det vara tämligen förklarligt, om jag säger, att det är till förfång för arvsfonden, om man låter kusinerna hava sin arvsrätt kvar. Ty då komma, där kusiner finnas, arven icke att gå till arvsfonden. Däremot med den bestämmelse, som föreslagits i propositionen och varigenom kusiner uteslutas från arvsrätt, kommer allt att gå till arvsfonden utom i den minoritet av fall, där arvlåtaren uttryckligen vill, att kvarlåtenskapen skall gå till kusinerna. Det tror jag hänger ganska väl tillsammans.</w:t>
        <w:br/>
        <w:br/>
        <w:t>Herr Lindman yttrade någonting, som möjligen låg mitt emellan skämt och allvar, om att jag icke stode i mitten. Vad den saken beträffar, är det tillräckligt att konstatera, att de socialdemokratiska reservanternas linje går emellan farfar och farbror samt högerlinjen mellan kusiner och kusiners barn. Jag står mitt emellan farbröder och kusiner. Hur vill man hava mig mer i mitten? Det förstår jag icke.</w:t>
        <w:br/>
        <w:br/>
        <w:t>Vidare klandrade herr Lindman mig för att jag ville rucka på det bestående. Jag tror, att han sade det i den formen, att jag sagt, att det kunde icke betyda så mycket, om man ruckade litet på det bestående. Jag kan icke heller vidkännas det yttrandet. Vad jag sade — jag minnes icke så noga ordalagen — det torde i huvudsak ha varit, att om man drar sig tillbaka inom ett mindre och starkare befäst område, så kan man där bättre försvara sig — det kan väl herr Lindman som militär gå med på än om man breder ut sig över ett stort område, som delvis är svårbefäst. Något annat tror jag icke, att det innehölls i det yttrandet.</w:t>
        <w:br/>
        <w:br/>
        <w:t xml:space="preserve">Vad slutligen beträffar frågan om avskiljande o. s. v., få vi väl först och främst komma ihåg, att något sådant stadgande finnes icke i 1920 års lag, utan ett införande därav innebär en förändring i 1920 års lag. Det är som sagt en förändring. Vad som från början gjorde mig betänksam och alltjämt gör det i denna punkt, är icke i och för sig, att man gynnar syskonen mer än maken. Det är den oändlighet av processer, som enligt mitt förmenande öppnas. Om den först avlidne makens efterlevande syskon äro trätolystna, ha de härliga tillfällen att väcka talan om avskiljande o. s. v. Bara de exempelvis tycka, att 'den efterlevande maken lever för högt eller det finnes någon annan anledning, så äro de färdiga till process. Detta betyder, att den efterlevande maken sitter på nålar. Om man vill se på </w:t>
      </w:r>
      <w:r>
        <w:rPr>
          <w:b/>
        </w:rPr>
        <w:t>hennes²</w:t>
      </w:r>
      <w:r>
        <w:rPr>
          <w:b w:val="0"/>
        </w:rPr>
        <w:t xml:space="preserve"> — eller hans — intresse kommer man otvivelaktigt att stryka ut avskiljandet. I förhållande till 1920 års lag betyder detta utstrykande tydligtvis icke något avsteg, eftersom avskiljandet icke finns i denna lag.</w:t>
      </w:r>
    </w:p>
    <w:p>
      <w:pPr>
        <w:pStyle w:val="Heading2"/>
      </w:pPr>
      <w:r>
        <w:t>4. Olof Olsson (Bondeförbundet, man)</w:t>
      </w:r>
    </w:p>
    <w:p>
      <w:r>
        <w:rPr>
          <w:b w:val="0"/>
        </w:rPr>
        <w:t>Herr talman! Anledningen varför jag begärt ordet är dels ett par yttranden, som fällts i diskussionen, och dels att vi ett litet antal riksdagsmän sistlidne november månad varit uppkallade till herr statsrådet och chefen för justitiedepartementet för att uttala oss rörande lagberedningens förslag i det här ifrågavarande ärendet.</w:t>
        <w:br/>
        <w:br/>
        <w:t>Jag kan icke neka till, att jag, sedan jag hade avrest ifrån Stockholm och kommit hem, reflekterade ännu en gång över de uttalanden, jag gjort inför herr statsrådet, enär jag då befanns vara ganska ensam om dessa uttalanden och ingen av de andra riksdagsmännen inom respektive partier delade den uppfattning, jag hade, utan tvärtom alla funno lagberedningens förslag utmärkt. Det var ju då ganska klart, att en så jämförelsevis obetydlig person som jag måste tänka sig för ännu en gång och fråga sig, om han icke var ute på en felaktig stråt. Nu har jag dock genom dagens debatt och framför allt genom den vid utlåtandet fogade reservationen fått klart för mig, att jag icke står så alldeles ensam, som jag då gjorde. Såvitt jag nu kan finna, motsvarar den av herr Borell m. fl. avgivna reservationen nästan till punkt och pricka den ställning, jag intog, och denna reservation är ju icke den längst i kanten gående utan den synes mig åtminstone ligga tämligen i mitten. Man kan tvista om mitten, men denna reservation går dock ut på, att man utan skada kan skära bort en del av de allra yttersta arvslinjerna. Nu kan det kanske ligga någonting i, vad herr statsrådet sade, att om man drar tillbaka sina ställningar, kan man starkare besätta dem och därmed bättre försvara dem. Det tror jag var statsrådets mening. Då är det endast detta, att jag har litet svårt att tro, att det egentligen finns några starka ställningar bakom fastrarna och mostrarna. Jag kan icke förstå, att de ställningarna äro så starka. Däremot tycker jag naturligtvis, att man borde taga den ställning, som jag i november ansåg att man borde taga, nämligen stanna vid kusinernas linje. Det tycker jag är en starkare linje än denna. TI varje fall är det en naturlig tanke, som ligger däri, att även sidoarvingarna skola få ärva, och här har man också pekat på att sådana arv skola ifrågakomma, nämligen att fastrarna och mostrarna skulle få ärva. Men jag får säga, att jag tycker nästan, att man satt dit dem som en slags skylt, och det sade jag också vid detta tillfälle i november.</w:t>
        <w:br/>
        <w:br/>
        <w:t>Så kommer jag till en sak, som vi icke resonerade om vid detta tillfälle men som amiral Lindman var inne på, nämligen den lagändring som gjordes 1920 och ifråga om vilken det nu föreslås en ytterligare ändring. När herr statsrådet yttrade, att den föreslagna övervakningen och utskiftningen, som i vissa fall skulle ske, kunde leda till en massa processer, så ger jag statsrådet rätt. Jag tror verkligen, att det skulle vara en härlig källa till inkomster för advokaterna, en mycket utmärkt källa. Men detta var icke något svar på det som herr Lindman kom med, att man kunde stanna vid vad man hade, stanna vid att den efterlevande maken och släktingarna skulle ärva hälften var. Den efterlevande maken får tre fjärdedelar av behållningen och släktingarna den återstående fjärdedelen. Jag förstår icke, varför det skulle leda till process. Jag tror bestämt, att detta varit lika bra som dessa svävande bestämmelser, som föreslagits här. Den massa skilsmässor, som nu äga rum, komma naturligtvis också att röra ihop familjeförmögenheterna, och man måste säga, att med det förslag, som här framlagts, blir det hela synnerligen trassligt.</w:t>
        <w:br/>
        <w:br/>
        <w:t>Nu skall jag övergå till det, som vi särskilt tillfrågades om i november, nämligen arvsfonden. Jag har icke kunnat tillägna mig någon annan syn på denna fond än den, jag då hade. Det är sant, att det är ett gott ändamål, men å andra sidan har det uttalats, att detta skulle innebära, att man bestämde, att vissa statsinkomster skulle gå till vissa statsutgifter, och det har staten hittills icke velat gå in för. Man vill emellertid söka dölja, att det här är</w:t>
        <w:br/>
        <w:br/>
        <w:t xml:space="preserve">fråga om en statsinkomst. Man säger, att arvsfonden är arvinge, men då kommer man ohjälpligen i kollision med principen, att arvlåtare och arvinge skola vara varandra närstående. De som skola ärva, skola icke stå så långt skilda från varandra, som kusiner göra. Men vad i herrans namn är det för människor, som arvsfonden står nära? Det är orimligt att påstå något sådant, det håller icke. Det vore klokast att säga ifrån, att staten tar arvet, i stället för att begagna skylten arvsfonden. Men nu uttrycker man i litet vackrare ordalag det faktum, att staten lägger vantarna på det hela. Det kommer man 1 alla fall icke ifrån, och det kan gärna sägas rent ut, att så är det i verkligheten. Om det vore fråga om arv, som gåve någonting, så kunde det kanske vara en annan sak. Men man uttrycker sig så, som jag förut antytt, därför att man menar, att landsbygden annars icke skulle tycka om det. I grund och botten bryr man sig dock icke om, vad landsbygden tycker i detta fall. Där får man klara sig med testamentsrätten. Det kan emellertid icke hjälpas, att det förhåller sig så, att testamentsrätten icke kan tillämpas i vissa fall. Om en människa känner sig frisk och kry och ung, icke gör </w:t>
      </w:r>
      <w:r>
        <w:rPr>
          <w:b/>
        </w:rPr>
        <w:t>hon²</w:t>
      </w:r>
      <w:r>
        <w:rPr>
          <w:b w:val="0"/>
        </w:rPr>
        <w:t xml:space="preserve"> då något testamente, men en vacker dag ligger </w:t>
      </w:r>
      <w:r>
        <w:rPr>
          <w:b/>
        </w:rPr>
        <w:t>hon²</w:t>
      </w:r>
      <w:r>
        <w:rPr>
          <w:b w:val="0"/>
        </w:rPr>
        <w:t xml:space="preserve"> där blek om nosen. Skall då staten liksom ligga på lur och passa på, om den människan har glömt att testamentera bort sina ägodelar. Det är icke mycket tilltalande, det får jag säga rent ut, oaktat herr statsrådet rekommenderade denna metod med testamenten.</w:t>
        <w:br/>
        <w:br/>
        <w:t>Det är en annan sak, jag vill framhålla i fråga om denna arvsfond, och det är, att jag icke kan inse, att det är juste, att, när staten nu på grund av denna arvslag drar åt sig ett samlat kapital, den skall låta detta gå ut till ren konsumtion. Ty det är väl ändå meningen. Ger man icke oupphörligen medborgarna anmaningar och förmaningar att spara och spara. Ni skall spara, säger man, ty utan sparkapital kan ingen stat äga bestånd. Det är väl ostridigt, att det icke går att bara med skatter hålla ihop en stat, utan det behövs, att några spara. Man hur gör staten själv? Jo, den tar och kastar ut i konsumtion minst två tredjedelar av ett sparat kapital. Jag tycker verkligen, att redan detta skulle förefallit synnerligen betänkligt och ytterligt i strid mot själva statens idé. När jag i november framhöll detta som ett skäl mot förslaget om denna arvsfond, så fick jag det svaret, att det kunde icke bli så mycket. Då slog man på den strängen, att fonden icke skulle bli så stor. Jag gav ju den repliken, att även om det icke bleve så mycket, så ansåg jag dock, att staten icke borde kasta sig in på den linjen. Det är nämligen alldeles tillräckligt med folk i privatlivet, som förstöra kapital, bokstavligen konsumera kapital och det på ett oklokt sätt. Nu vill jag säga, att även om detta kan sägas på sätt och vis vara ett klokt sätt att använda kapital, så innebär det dock en kapitalförstöring. Det är omöjligt för herr statsrådet att komma ifrån den saken. Jag tycker då, att man borde från statens sida litet hesitera för att gå fram på den vägen. Det är detta, som gjort mig mest betänksam mot hela detta projekt. Jag förstår icke, varför icke staten kan direkt taga de arv, som den drar in och icke unnar arvingarna, och understödja de med arvsfonden avsedda ändamålen med statsanslag. Visserligen tror jag icke, att det bleve så många nya kronoegendomar, som komme att tillfalla arvsfonden. Utvecklingen går just icke i den riktningen, att man skapar nya kronogods, då man nu säljer och slår ut de nuvarande kronoegendomarna till egnahem och mindre självständiga Jordbruk. Det avspeglas dock i reservationen, där man talar om de fastigheter, som skulle tillfalla den här fonden, att densamma verkar tvärt emot vad statsmakterna nu gått in för beträffande kronoegendomar. Ju mer jag tänkt mig in i denna fråga om arvsfonden, dess mera motbjudande har den blivit för mig. Jag kan icke neka till det, och jag tror sannerligen, att det varit lyckligare, om man icke sökt arrangera saken på detta sätt. Men å andra sidan är jag all-</w:t>
        <w:br/>
        <w:br/>
        <w:t>deles på det klara med att detta långväga tillbakagående, som hittills ägt rum, för att se, om det möjligen funnes några släktingar eller icke, varit allt för formalistiskt. Det tror jag man gott kan ge avkall på.</w:t>
        <w:br/>
        <w:br/>
        <w:t>Jag har blivit ytterligare styrkt i min uppfattning, att det varit lyckligast, lugnast och klokast, om man någorlunda följt den linje, som angivits i den av herr Borell m. fl. avgivna reservationen, till vilken jag, herr talman, yrkar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