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1848</w:t>
      </w:r>
    </w:p>
    <w:p>
      <w:r>
        <w:rPr>
          <w:b/>
        </w:rPr>
        <w:t xml:space="preserve">Datum: </w:t>
      </w:r>
      <w:r>
        <w:t>1930-02-28</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Bernhard Wiklund (Socialdemokraterna, man)</w:t>
      </w:r>
    </w:p>
    <w:p>
      <w:r>
        <w:rPr>
          <w:b w:val="0"/>
        </w:rPr>
        <w:t xml:space="preserve">Herr talman! Såsom av detta utskottsutlåtande framgår, har det väckts motioner i såväl första som andra kammaren därom, att en gratifikation på 1,500 kronor måtte tilldelas </w:t>
      </w:r>
      <w:r>
        <w:rPr>
          <w:b/>
        </w:rPr>
        <w:t>änkan²</w:t>
      </w:r>
      <w:r>
        <w:rPr>
          <w:b w:val="0"/>
        </w:rPr>
        <w:t xml:space="preserve"> efter vaktmästaren i statsutskottet O. V. F. Sondén. Vaktmästare Sondén har i många år på ett oförvitligt sätt tjänstgjort i statsutskottet. Han är nu avliden, och bouppteckningen efter honom utvisar brist i boet. </w:t>
      </w:r>
      <w:r>
        <w:rPr>
          <w:b/>
        </w:rPr>
        <w:t>Änkan²</w:t>
      </w:r>
      <w:r>
        <w:rPr>
          <w:b w:val="0"/>
        </w:rPr>
        <w:t xml:space="preserve">, som är sjuklig och oförmögen till allt förvärvsarbete, har ingenting annat att leva på, än vad </w:t>
      </w:r>
      <w:r>
        <w:rPr>
          <w:b/>
        </w:rPr>
        <w:t>hennes²</w:t>
      </w:r>
      <w:r>
        <w:rPr>
          <w:b w:val="0"/>
        </w:rPr>
        <w:t xml:space="preserve"> </w:t>
      </w:r>
      <w:r>
        <w:rPr>
          <w:b/>
        </w:rPr>
        <w:t>dotter²</w:t>
      </w:r>
      <w:r>
        <w:rPr>
          <w:b w:val="0"/>
        </w:rPr>
        <w:t xml:space="preserve"> kan avvara av den avlöning av 200 kronor i månaden, som </w:t>
      </w:r>
      <w:r>
        <w:rPr>
          <w:b/>
        </w:rPr>
        <w:t>hon²</w:t>
      </w:r>
      <w:r>
        <w:rPr>
          <w:b w:val="0"/>
        </w:rPr>
        <w:t xml:space="preserve"> uppbär för kontorsarbete.</w:t>
        <w:br/>
        <w:br/>
        <w:t xml:space="preserve">Bankoutskottet har nu i så måtto velat bifalla de väckta motionerna, att det föreslagit, att ett belopp av 1,000 kronor skulle utgå. Men nog synes det mig tydligt, att detta för denna </w:t>
      </w:r>
      <w:r>
        <w:rPr>
          <w:b/>
        </w:rPr>
        <w:t>änka²</w:t>
      </w:r>
      <w:r>
        <w:rPr>
          <w:b w:val="0"/>
        </w:rPr>
        <w:t xml:space="preserve"> blir ett alltför obetydligt levebröd. Det gäller ju bara en summa på 1,000 kronor, som utbetalas en enda gång. Utskot-</w:t>
        <w:br/>
        <w:br/>
        <w:t xml:space="preserve">tet säger, att tillräckliga skäl saknas att gå utöver det belopp, som 1 föregående punkt tilldelats vaktmästare Fastins </w:t>
      </w:r>
      <w:r>
        <w:rPr>
          <w:b/>
        </w:rPr>
        <w:t>änka²</w:t>
      </w:r>
      <w:r>
        <w:rPr>
          <w:b w:val="0"/>
        </w:rPr>
        <w:t xml:space="preserve">. Jag wvill då erinra därom, att förhållandet i dessa båda fall är väsentligt olika. I dödsboet efter Fastin fanns behållning, och </w:t>
      </w:r>
      <w:r>
        <w:rPr>
          <w:b/>
        </w:rPr>
        <w:t>änkan²</w:t>
      </w:r>
      <w:r>
        <w:rPr>
          <w:b w:val="0"/>
        </w:rPr>
        <w:t xml:space="preserve"> Fastin uppbär också ett årligt gratial på 500 kronor från Storkyrkoförsamlingen i Stockholm, där </w:t>
      </w:r>
      <w:r>
        <w:rPr>
          <w:b/>
        </w:rPr>
        <w:t>hennes²</w:t>
      </w:r>
      <w:r>
        <w:rPr>
          <w:b w:val="0"/>
        </w:rPr>
        <w:t xml:space="preserve"> man i livstiden var kyrkovaktmästare. </w:t>
      </w:r>
      <w:r>
        <w:rPr>
          <w:b/>
        </w:rPr>
        <w:t>Hon²</w:t>
      </w:r>
      <w:r>
        <w:rPr>
          <w:b w:val="0"/>
        </w:rPr>
        <w:t xml:space="preserve"> kan i övrigt, så långt </w:t>
      </w:r>
      <w:r>
        <w:rPr>
          <w:b/>
        </w:rPr>
        <w:t>hennes²</w:t>
      </w:r>
      <w:r>
        <w:rPr>
          <w:b w:val="0"/>
        </w:rPr>
        <w:t xml:space="preserve"> krafter räcka, försörja sig med städningsarbete. </w:t>
      </w:r>
      <w:r>
        <w:rPr>
          <w:b/>
        </w:rPr>
        <w:t>Änkan²</w:t>
      </w:r>
      <w:r>
        <w:rPr>
          <w:b w:val="0"/>
        </w:rPr>
        <w:t xml:space="preserve"> Sondén kan däremot icke uträtta något arbete. Det synes mig underligt, om riksdagen skulle knappa in på det belopp, som här begärts, nämligen 1,500 kronor, när det gäller att hjälpa en </w:t>
      </w:r>
      <w:r>
        <w:rPr>
          <w:b/>
        </w:rPr>
        <w:t>änka²</w:t>
      </w:r>
      <w:r>
        <w:rPr>
          <w:b w:val="0"/>
        </w:rPr>
        <w:t xml:space="preserve"> efter en riksdagens egen befattningshavare.</w:t>
        <w:br/>
        <w:br/>
        <w:t xml:space="preserve">Nu kan det hända, att någon från utskottet skulle kunna invända, att det är en regel, att utskottet icke tillstyrker gratifikationer på högre belopp än 1,000 kronor. Jag vill då erinra därom, att år 1920 erhöll vaktmästaränkan Uppgren en gratifikation på 1,500 kronor, och år 1922 erhöll </w:t>
      </w:r>
      <w:r>
        <w:rPr>
          <w:b/>
        </w:rPr>
        <w:t>änkan²</w:t>
      </w:r>
      <w:r>
        <w:rPr>
          <w:b w:val="0"/>
        </w:rPr>
        <w:t xml:space="preserve"> efter postvaktmästaren Jonsson lika stort belopp. Sedan har det utgått 1,000 kronor flera gånger under åren 1920—1925 till änkor, som haft större arbetsförmåga och bland vilka åtminstone en uppburit 200 kronor årligen i pension från civilstatens </w:t>
      </w:r>
      <w:r>
        <w:rPr>
          <w:b/>
        </w:rPr>
        <w:t>änkeoch²</w:t>
      </w:r>
      <w:r>
        <w:rPr>
          <w:b w:val="0"/>
        </w:rPr>
        <w:t xml:space="preserve"> pupillkassa. Det synes sålunda, som om principen att icke bifalla högre belopp än 1,000 kronor näppeligen alltid följts. I alla fall synes det mig, att man väl ändå borde göra en jämförelse i fråga om möjligheterna till förvärvsarbete och de tillgångar i övrigt, som vederbörande ha att lita till.</w:t>
        <w:br/>
        <w:br/>
        <w:t xml:space="preserve">Jag för min del kan icke finna, att det är riktigt, som utskottet säger, att det saknas skäl för att här föreslå ett något högre belopp än i föregående punkt, och jag anhåller därför, herr förste vice talman, att få yrka bifall till utskottets hemställan med den ändringen, att beloppet 1,000 kronor höjes till 1.500 kronor, och att alltså åt </w:t>
      </w:r>
      <w:r>
        <w:rPr>
          <w:b/>
        </w:rPr>
        <w:t>änkan²</w:t>
      </w:r>
      <w:r>
        <w:rPr>
          <w:b w:val="0"/>
        </w:rPr>
        <w:t xml:space="preserve"> Elin Kristina Sondén som gratifikation anvisas ett belopp av 1,500 kronor.</w:t>
      </w:r>
    </w:p>
    <w:p>
      <w:pPr>
        <w:pStyle w:val="Heading2"/>
      </w:pPr>
      <w:r>
        <w:t>2. Nils Winkler (Lantmanna- och borgarepartiet inom andrakammaren, man)</w:t>
      </w:r>
    </w:p>
    <w:p>
      <w:r>
        <w:rPr>
          <w:b w:val="0"/>
        </w:rPr>
        <w:t xml:space="preserve">Herr talman, mina herrar! Här är nu återigen ett sådant där fall, där var och en försöker tillgodose sin skyddsling, så gott han kan. Nu vill herr Wiklund göra ett undantag för </w:t>
      </w:r>
      <w:r>
        <w:rPr>
          <w:b/>
        </w:rPr>
        <w:t>änkan²</w:t>
      </w:r>
      <w:r>
        <w:rPr>
          <w:b w:val="0"/>
        </w:rPr>
        <w:t xml:space="preserve"> Sondén, omedelbart efter det att det beviljats 1,000 kronor till </w:t>
      </w:r>
      <w:r>
        <w:rPr>
          <w:b/>
        </w:rPr>
        <w:t>änkan²</w:t>
      </w:r>
      <w:r>
        <w:rPr>
          <w:b w:val="0"/>
        </w:rPr>
        <w:t xml:space="preserve"> Fastin. Till förmån för </w:t>
      </w:r>
      <w:r>
        <w:rPr>
          <w:b/>
        </w:rPr>
        <w:t>änkan²</w:t>
      </w:r>
      <w:r>
        <w:rPr>
          <w:b w:val="0"/>
        </w:rPr>
        <w:t xml:space="preserve"> Sondén anfördes, att det skulle föreligga särskilt ömmande omständigheter. </w:t>
      </w:r>
      <w:r>
        <w:rPr>
          <w:b/>
        </w:rPr>
        <w:t>Hon²</w:t>
      </w:r>
      <w:r>
        <w:rPr>
          <w:b w:val="0"/>
        </w:rPr>
        <w:t xml:space="preserve"> hade svårt att försörja sig, och </w:t>
      </w:r>
      <w:r>
        <w:rPr>
          <w:b/>
        </w:rPr>
        <w:t>hon²</w:t>
      </w:r>
      <w:r>
        <w:rPr>
          <w:b w:val="0"/>
        </w:rPr>
        <w:t xml:space="preserve"> var gammal, medan den andra </w:t>
      </w:r>
      <w:r>
        <w:rPr>
          <w:b/>
        </w:rPr>
        <w:t>änkan²</w:t>
      </w:r>
      <w:r>
        <w:rPr>
          <w:b w:val="0"/>
        </w:rPr>
        <w:t xml:space="preserve"> hade 500 kronor i gratial från Storkyrkoförsamlingen. Det är riktigt, men det finns även något i fråga om </w:t>
      </w:r>
      <w:r>
        <w:rPr>
          <w:b/>
        </w:rPr>
        <w:t>änkan²</w:t>
      </w:r>
      <w:r>
        <w:rPr>
          <w:b w:val="0"/>
        </w:rPr>
        <w:t xml:space="preserve"> Sondén, som talar i samma riktning. Det har nämligen meddelats, att </w:t>
      </w:r>
      <w:r>
        <w:rPr>
          <w:b/>
        </w:rPr>
        <w:t>hon²</w:t>
      </w:r>
      <w:r>
        <w:rPr>
          <w:b w:val="0"/>
        </w:rPr>
        <w:t xml:space="preserve"> bor hos en </w:t>
      </w:r>
      <w:r>
        <w:rPr>
          <w:b/>
        </w:rPr>
        <w:t>dotter²</w:t>
      </w:r>
      <w:r>
        <w:rPr>
          <w:b w:val="0"/>
        </w:rPr>
        <w:t xml:space="preserve"> med 200 kronor pr månad 1 avlöning, och vi anse, att då en person har så pass stor inkomst, så kan </w:t>
      </w:r>
      <w:r>
        <w:rPr>
          <w:b/>
        </w:rPr>
        <w:t>hon²</w:t>
      </w:r>
      <w:r>
        <w:rPr>
          <w:b w:val="0"/>
        </w:rPr>
        <w:t xml:space="preserve"> i någon mån bidraga till sina anhörigas underhåll. Jag vill även påpeka, att den </w:t>
      </w:r>
      <w:r>
        <w:rPr>
          <w:b/>
        </w:rPr>
        <w:t>änka²</w:t>
      </w:r>
      <w:r>
        <w:rPr>
          <w:b w:val="0"/>
        </w:rPr>
        <w:t xml:space="preserve">, som vi nu tala om, är född 1874, under det att den andra </w:t>
      </w:r>
      <w:r>
        <w:rPr>
          <w:b/>
        </w:rPr>
        <w:t>änkan²</w:t>
      </w:r>
      <w:r>
        <w:rPr>
          <w:b w:val="0"/>
        </w:rPr>
        <w:t xml:space="preserve"> är född 1871 och alltså äldre. Sjukliga äro de båda två. Jag vet icke, hur vi skola bära oss åt i bankoutskottet. Gå vi nu in för 1,500 kronor, så blir det den allmänna gratifikationen för änkor. Det är, vad beslutet kommer att innebära.</w:t>
        <w:br/>
        <w:br/>
        <w:t>Nu förmodar jag, att herr Wiklund tycker, att mannen har ju tjänstgjort hos statsutskottet. Men jag vill säga, att detta är ingen ordinarie befattning utan en extra befattning, som personer åtaga sig sköta, medan riksdagen är samlad. Skulle man vilja motivera, att statsutskottet skulle för sina befattningshavare hava någon företrädesrätt framför andra utskott, så får jag säga, att det vore betänkligt att gå in för sådana principer.</w:t>
        <w:br/>
        <w:br/>
        <w:t>Jag vill hemställa, att kammaren måtte acceptera bankoutskottets här föreliggande förslag och alltså bestämma beloppet till 1,000 kronor.</w:t>
      </w:r>
    </w:p>
    <w:p>
      <w:pPr>
        <w:pStyle w:val="Heading2"/>
      </w:pPr>
      <w:r>
        <w:t>3. Helge Bäcklund (Socialdemokraterna, man)</w:t>
      </w:r>
    </w:p>
    <w:p>
      <w:r>
        <w:rPr>
          <w:b w:val="0"/>
        </w:rPr>
        <w:t xml:space="preserve">Herr förste vice talman! Jag har ieke antecknat någon reservation vid detta utskottsutlåtande, men jag anser mig likväl oförhindrad att gå in för den uppfattning, som angivits av herr Wiklund i Brattfors, därför att jag har i utskottet både påyrkat och röstat för, att motionen skulle bifallas och att beloppet således skulle sättas till 1,500 kronor. Det var flera är jag, som i utskottet röstade för bifall till motionen, bland annat utskottets ordförande. Men utskottet skulle i alla fall sätta ett likhetstecken mellan båda dessa motioner; det skulle vara 1,000 kronor på båda ställena, trots att förhållandena äro så olika. I första punkten av utskottets utlåtande nr 16 gäller det en </w:t>
      </w:r>
      <w:r>
        <w:rPr>
          <w:b/>
        </w:rPr>
        <w:t>änka²</w:t>
      </w:r>
      <w:r>
        <w:rPr>
          <w:b w:val="0"/>
        </w:rPr>
        <w:t xml:space="preserve">, som ännu är arbetsför och som har 500 kronor i pension. I det fall, som herr Wiklund talat om, gäller det åter en </w:t>
      </w:r>
      <w:r>
        <w:rPr>
          <w:b/>
        </w:rPr>
        <w:t>änka²</w:t>
      </w:r>
      <w:r>
        <w:rPr>
          <w:b w:val="0"/>
        </w:rPr>
        <w:t>, som är sjuk och icke har någon pension. Jag anser, att det finnes goda grunder för den ståndpunkt, som herr Wiklund här uttalat sig för, och jag känner mig oförhindrad att biträda det yrkande om bifall till motionen, som herr Wiklund framställt.</w:t>
      </w:r>
    </w:p>
    <w:p>
      <w:pPr>
        <w:pStyle w:val="Heading2"/>
      </w:pPr>
      <w:r>
        <w:t>4. Conrad Carleson (–, man)</w:t>
      </w:r>
    </w:p>
    <w:p>
      <w:r>
        <w:rPr>
          <w:b w:val="0"/>
        </w:rPr>
        <w:t xml:space="preserve">Herr talman! Här är fråga om pension åt en f. d. skollärarinna och föreståndarinna för en mycket bekant skola och ett lika bekant skollärarinneseminarium. Frågan var före redan vid föregående års riksdag. Då fick man även här i kammaren klart för sig en inom vida kretsar förut känd sanning, nämligen att </w:t>
      </w:r>
      <w:r>
        <w:rPr>
          <w:b/>
        </w:rPr>
        <w:t>fröken²</w:t>
      </w:r>
      <w:r>
        <w:rPr>
          <w:b w:val="0"/>
        </w:rPr>
        <w:t xml:space="preserve"> Sandström intager en säregen för att icke säga en enastående plats på det pedagogiska området. Både som </w:t>
      </w:r>
      <w:r>
        <w:rPr>
          <w:b/>
        </w:rPr>
        <w:t>lärarinna³</w:t>
      </w:r>
      <w:r>
        <w:rPr>
          <w:b w:val="0"/>
        </w:rPr>
        <w:t xml:space="preserve">, författarinna och föreståndarinna har </w:t>
      </w:r>
      <w:r>
        <w:rPr>
          <w:b/>
        </w:rPr>
        <w:t>hon²</w:t>
      </w:r>
      <w:r>
        <w:rPr>
          <w:b w:val="0"/>
        </w:rPr>
        <w:t xml:space="preserve"> varit målsman för moderna riktlinjer på det pedagogiska området, och frukterna av </w:t>
      </w:r>
      <w:r>
        <w:rPr>
          <w:b/>
        </w:rPr>
        <w:t>hennes²</w:t>
      </w:r>
      <w:r>
        <w:rPr>
          <w:b w:val="0"/>
        </w:rPr>
        <w:t xml:space="preserve"> verksamhet har samhället åtnjutit. Jag behöver icke vidare ingå på den saken på den grund, att utskottet icke heller på något sätt vare sig i år eller förra året underkänt den särställning, som </w:t>
      </w:r>
      <w:r>
        <w:rPr>
          <w:b/>
        </w:rPr>
        <w:t>fröken²</w:t>
      </w:r>
      <w:r>
        <w:rPr>
          <w:b w:val="0"/>
        </w:rPr>
        <w:t xml:space="preserve"> Sandström verkligen intager. Däremot har utskottet, som naturligt är, tänkt på den prejudicerande betydelse, det skulle hava att giva </w:t>
      </w:r>
      <w:r>
        <w:rPr>
          <w:b/>
        </w:rPr>
        <w:t>fröken²</w:t>
      </w:r>
      <w:r>
        <w:rPr>
          <w:b w:val="0"/>
        </w:rPr>
        <w:t xml:space="preserve"> Sandström det erkännande, som ligger i en pension. Utskottet fick därvidlag riksdagens medhåll föregående år.</w:t>
        <w:br/>
        <w:br/>
        <w:t xml:space="preserve">För min del håller jag före, att denna sak icke blir i och för sig prejudicerande, först och främst därför, att i föregående års handlingar finnas uttalanden från flera framstående män och </w:t>
      </w:r>
      <w:r>
        <w:rPr>
          <w:b/>
        </w:rPr>
        <w:t>kvinnor¹</w:t>
      </w:r>
      <w:r>
        <w:rPr>
          <w:b w:val="0"/>
        </w:rPr>
        <w:t xml:space="preserve"> i detta land, vilka visa, hurusom </w:t>
      </w:r>
      <w:r>
        <w:rPr>
          <w:b/>
        </w:rPr>
        <w:t>fröken²</w:t>
      </w:r>
      <w:r>
        <w:rPr>
          <w:b w:val="0"/>
        </w:rPr>
        <w:t xml:space="preserve"> Sandströms ställning verkligen är så säregen, att ett erkännande härav i form av pension från det allmännas sida icke behövde medföra några som helst konsekvenser. Efter det riksdagen förra året fattade sitt beslut i frågan, föreligger ett utlåtande från statskontoret, en myndighet, som i pensionsfrågor brukar ådagalägga särskild försiktighet, i vilket utlåtande statskontoret för sin del säger, att utan sakkunskap, som naturligt är, på dylika områden, har statskontoret likväl med ledning av gjorda uttalanden i handlingarna ansett sig kunna gå ut ifrån att här förelåge ett ganska enastående fall, vadan ett beslut om tillerkännande av pension åt </w:t>
      </w:r>
      <w:r>
        <w:rPr>
          <w:b/>
        </w:rPr>
        <w:t>fröken²</w:t>
      </w:r>
      <w:r>
        <w:rPr>
          <w:b w:val="0"/>
        </w:rPr>
        <w:t xml:space="preserve"> Sandström icke skulle innebära något prejudicerande för framtiden. Under sådana förhållanden kommer jag att tillåta mig att yrka bifall till den i ämnet väckta motionen.</w:t>
        <w:br/>
        <w:br/>
        <w:t xml:space="preserve">Att ett erkännande från riksdagens sida får den form, som föreslagits, anser jag vara av åtskilliga skäl tänkvärt och beaktansvärt. Jag tänker mindre på, att det är behjärtansvärt att giva pension åt en person, som efter ett långt livs verksamhet i samhällets tjänst fyllt 76 år, utan kanske snarare på det förhållandet, att 1927 års skolreform på sitt sätt brutit sönder det livsverk, som </w:t>
      </w:r>
      <w:r>
        <w:rPr>
          <w:b/>
        </w:rPr>
        <w:t>hon²</w:t>
      </w:r>
      <w:r>
        <w:rPr>
          <w:b w:val="0"/>
        </w:rPr>
        <w:t xml:space="preserve"> nedlagt vid lärarinneseminariet. Man måste ändå vara med om, att detta livsverk, i och för sig beundransvärt, genom själva formen för denna institution burit frukter inom vida kretsar i landet.</w:t>
        <w:br/>
        <w:br/>
        <w:t>Herr talman! Jag skall med dessa ord be att få yrka bifall till den i ämnet väckta motionen.</w:t>
      </w:r>
    </w:p>
    <w:p>
      <w:pPr>
        <w:pStyle w:val="Heading2"/>
      </w:pPr>
      <w:r>
        <w:t>5. Otto Holmdahl (Lantmanna- och borgarepartiet inom andrakammaren, man)</w:t>
      </w:r>
    </w:p>
    <w:p>
      <w:r>
        <w:rPr>
          <w:b w:val="0"/>
        </w:rPr>
        <w:t xml:space="preserve">Herr förste vice talman! Jag skall också be att i anslutning till den föregående ärade talaren få säga några ord i frågan. Det är otvivelaktigt fullkomligt riktigt, när bankoutskottet hävdar den principen, att i fråga om pensioner av här ifrågavarande art måste statsmakterna gå fram under iakttagande av stor varsamhet. Men hävdandet av denna princip behöver ingalunda enligt min mening leda till avslag på den här föreliggande motionen med dess hemställan om pension åt </w:t>
      </w:r>
      <w:r>
        <w:rPr>
          <w:b/>
        </w:rPr>
        <w:t>fröken²</w:t>
      </w:r>
      <w:r>
        <w:rPr>
          <w:b w:val="0"/>
        </w:rPr>
        <w:t xml:space="preserve"> Sandström. Herr förste vice talman! Jag har tillåtit mig begära ordet för att kort och gott förklara, att även om jag, såsom jag måste göra, tager mycken hänsyn till kommande</w:t>
        <w:br/>
        <w:br/>
        <w:t>konsekvenser av ett dylikt beslut, som motionärerna hemställa, att riksdagen</w:t>
        <w:br/>
        <w:br/>
        <w:t>måtte fatta, så måste jag dock säga, att synnerligen starka skäl i detta fall fö pension åt</w:t>
        <w:br/>
        <w:br/>
        <w:t>tala för bifall till samma hemställan.</w:t>
        <w:br/>
        <w:br/>
        <w:t>Den föregående ärade talaren erinrade om, att de aktstycken, som föreligga i detta ärende, redan med tillräcklig tydlighet — och jag vågar tillägga, på ett osedvanligt sätt — ådagalägga, att här föreligga synnerligen starka skäl att bifalla denna begäran om pension åt denna förutvarande skolföreståndarinna.</w:t>
        <w:br/>
        <w:br/>
        <w:t xml:space="preserve">Bankoutskottet redogör för denna frågas behandling under fjolåret. Den förelåg då dels genom underdånig framställning till Kungl. Maj:t från ett antal representativa personer på skilda områden i det svenska undervisningsväsendet och dels i ett yttrande från skolöverstyrelsen, som varmt biträdde förslaget om pension åt </w:t>
      </w:r>
      <w:r>
        <w:rPr>
          <w:b/>
        </w:rPr>
        <w:t>fröken²</w:t>
      </w:r>
      <w:r>
        <w:rPr>
          <w:b w:val="0"/>
        </w:rPr>
        <w:t xml:space="preserve"> Sandström. Av denna redogörelse framgår också, att statskontoret — om vilket man kan vara övertygad, att det iakttager den största varsamhet vid handläggning av dylika ärenden — har i sitt utlåtande härom uttalat följande: »Av innehållet i den gjorda framställningen ävensom av vad skolöverstyrelsen anfört syntes framgå, att här förelåge ett ganska enastående fall och att alltså ett bifall till framställningen knappast skulle innebära någon fara för vittgående eller betänkliga konsekvenser.»</w:t>
        <w:br/>
        <w:br/>
        <w:t>Under sådana förhållanden menar jag också, att kammaren utan att befara dylika konsekvenser kan biträda motionens hemställan.</w:t>
        <w:br/>
        <w:br/>
        <w:t xml:space="preserve">Jag kan icke finna annat än att det vore både önskvärt, rättvist och riktigt, att pensionen beviljades, då </w:t>
      </w:r>
      <w:r>
        <w:rPr>
          <w:b/>
        </w:rPr>
        <w:t>fröken²</w:t>
      </w:r>
      <w:r>
        <w:rPr>
          <w:b w:val="0"/>
        </w:rPr>
        <w:t xml:space="preserve"> Sandström genom hela sin livslånga verksamhet i skolundervisningens tjänst har dokumenterat sig som en synnerligen framstående och ledande personlighet på detta område såsom chef för sin stora skola och måhända ännu mera såsom grundare och ledare av ett lärarinneseminarium, som sänt ut generationer av </w:t>
      </w:r>
      <w:r>
        <w:rPr>
          <w:b/>
        </w:rPr>
        <w:t>lärarinnor³</w:t>
      </w:r>
      <w:r>
        <w:rPr>
          <w:b w:val="0"/>
        </w:rPr>
        <w:t>, vilka nu tack vare 1927 års skolreform i många fall träda in i statens tjänst och däri tillgodogöra sig den utbildning, som de fått i det Sandströmska seminariet.</w:t>
        <w:br/>
        <w:br/>
        <w:t xml:space="preserve">Det huvudskäl, som utskottet anför för sitt avståndstagande från motionens hemställan, är, att </w:t>
      </w:r>
      <w:r>
        <w:rPr>
          <w:b/>
        </w:rPr>
        <w:t>fröken²</w:t>
      </w:r>
      <w:r>
        <w:rPr>
          <w:b w:val="0"/>
        </w:rPr>
        <w:t xml:space="preserve"> Sandström icke fullgjort sitt livsverk i statens tjänst. </w:t>
      </w:r>
      <w:r>
        <w:rPr>
          <w:b/>
        </w:rPr>
        <w:t>Hon²</w:t>
      </w:r>
      <w:r>
        <w:rPr>
          <w:b w:val="0"/>
        </w:rPr>
        <w:t xml:space="preserve"> har icke varit statsanställd. Jag skall tillåta mig att beträffande det skälet först göra den anmärkningen, att när det gäller en pension med en motivering som i förevarande fall, där det just gäller att visa erkänsla för en gagnande insats, som kommit det allmänna till godo, så är givetvis just den omständigheten att här insatsen skett på grundval av enskilt initiativ och under den privata verksamhetens form ett skäl, som snarare talar för än emot denna hemställan. Men jag vill därtill anföra ännu en omständighet, som synes mig värd det största beaktande. Den motivering för avslag, som bankoutskottet här anfört, skulle enligt mitt sätt att se ägt en större giltighet, om den framförts i en tid, då det allmänna icke erkände sin förpliktelse att sörja för </w:t>
      </w:r>
      <w:r>
        <w:rPr>
          <w:b/>
        </w:rPr>
        <w:t>flickornas²</w:t>
      </w:r>
      <w:r>
        <w:rPr>
          <w:b w:val="0"/>
        </w:rPr>
        <w:t xml:space="preserve"> högre skolundervisning. Om detta resonemang förts under en tid, då det allmänna icke ansåg det vara statens uppgift att sörja för den </w:t>
      </w:r>
      <w:r>
        <w:rPr>
          <w:b/>
        </w:rPr>
        <w:t>kvinnliga¹</w:t>
      </w:r>
      <w:r>
        <w:rPr>
          <w:b w:val="0"/>
        </w:rPr>
        <w:t xml:space="preserve"> ungdomens fortsatta utbildning, då hade det låtit säga sig, men, mina herrar, vi leva i en tid, då statsmakterna med stor enighet inom riksdagen i detta hänseende gått in för att staten bör i lika mån och i växande omfattning sörja såväl för den </w:t>
      </w:r>
      <w:r>
        <w:rPr>
          <w:b/>
        </w:rPr>
        <w:t>kvinnliga¹</w:t>
      </w:r>
      <w:r>
        <w:rPr>
          <w:b w:val="0"/>
        </w:rPr>
        <w:t xml:space="preserve"> som manliga ungdomens utbildning. Under sådana förhållanden måste man säga sig, att den verksamhet, som utförts vid ifrågavarande läroanstalter, har på detta sätt in amplissima forma tillerkänts allmännyttighet och värde för det allmänna, och man kan med hänsyn till denna grundval för 1927 års skolreform säga, att denna ger ett starkt stöd för påståendet, att </w:t>
      </w:r>
      <w:r>
        <w:rPr>
          <w:b/>
        </w:rPr>
        <w:t>fröken²</w:t>
      </w:r>
      <w:r>
        <w:rPr>
          <w:b w:val="0"/>
        </w:rPr>
        <w:t xml:space="preserve"> Sandströms insats och gärning varit en gärning 1 det allmännas tjänst. Jag tillåter mig upprepa det, att när man tänker på att tack vare denna skolreform eleverna från Sandströmska seminariet nu kunna erhålla anställning</w:t>
        <w:br/>
        <w:br/>
        <w:t xml:space="preserve">vid statliga läroverk och i statsanställning utföra sin lärargärning, så innebär denna omständighet ännu ett skäl, som starkt talar för, att staten också här skall gå in för en så rimlig begäran som att bevilja </w:t>
      </w:r>
      <w:r>
        <w:rPr>
          <w:b/>
        </w:rPr>
        <w:t>fröken²</w:t>
      </w:r>
      <w:r>
        <w:rPr>
          <w:b w:val="0"/>
        </w:rPr>
        <w:t xml:space="preserve"> Sandström en pension av den storleksordning, som en föreståndarinna vid motsvarande statlig anställning skulle fått. Kvaliteten och betydelsen av denna sällsynt vackra och långa livsgärning utgör dessutom ett synnerligen starkt motiv för bifall till motionen. Herr talman, jag tillåter mig yrka bifall till reservationen.</w:t>
        <w:br/>
        <w:br/>
        <w:t xml:space="preserve">I detta anförande, under vilket herr talmannen återtagit ledningen av förhandlingarna, instämde herr Ekman, </w:t>
      </w:r>
      <w:r>
        <w:rPr>
          <w:b/>
        </w:rPr>
        <w:t>fröken²</w:t>
      </w:r>
      <w:r>
        <w:rPr>
          <w:b w:val="0"/>
        </w:rPr>
        <w:t xml:space="preserve"> Wellin samt herrar Järte, Lund quist i Rotebro, Wachtmeister, Holmgren, Bengtsson i Norup, Weibull, Thomson, Wikström och Anderson i Linköping.</w:t>
      </w:r>
    </w:p>
    <w:p>
      <w:pPr>
        <w:pStyle w:val="Heading2"/>
      </w:pPr>
      <w:r>
        <w:t>6. Nils Winkler (Lantmanna- och borgarepartiet inom andrakammaren, man)</w:t>
      </w:r>
    </w:p>
    <w:p>
      <w:r>
        <w:rPr>
          <w:b w:val="0"/>
        </w:rPr>
        <w:t xml:space="preserve">Herr talman! Detta är återigen ett besvärligt pensionsärende, som bankoutskottet har haft att behandla. Jag betvivlar icke det allra ringaste att </w:t>
      </w:r>
      <w:r>
        <w:rPr>
          <w:b/>
        </w:rPr>
        <w:t>fröken²</w:t>
      </w:r>
      <w:r>
        <w:rPr>
          <w:b w:val="0"/>
        </w:rPr>
        <w:t xml:space="preserve"> Sandström har utfört en mycket samhällsgagnande verksamhet, och icke hellar att </w:t>
      </w:r>
      <w:r>
        <w:rPr>
          <w:b/>
        </w:rPr>
        <w:t>hon²</w:t>
      </w:r>
      <w:r>
        <w:rPr>
          <w:b w:val="0"/>
        </w:rPr>
        <w:t xml:space="preserve"> varit av en viss betydelse för </w:t>
      </w:r>
      <w:r>
        <w:rPr>
          <w:b/>
        </w:rPr>
        <w:t>flickundervisningens²</w:t>
      </w:r>
      <w:r>
        <w:rPr>
          <w:b w:val="0"/>
        </w:rPr>
        <w:t xml:space="preserve"> utveckling i vårt land. Jag känner icke närmare till </w:t>
      </w:r>
      <w:r>
        <w:rPr>
          <w:b/>
        </w:rPr>
        <w:t>fröken²</w:t>
      </w:r>
      <w:r>
        <w:rPr>
          <w:b w:val="0"/>
        </w:rPr>
        <w:t xml:space="preserve"> Sandströms verksamhet av den anledningen att jag mycket litet haft tillfälle att röra mig bland lärarekretsar och sådana personer, som särskilt haft intresse för de pedagogiska uppgifterna inom landet, men jag är alldeles övertygad om att det finns många andra </w:t>
      </w:r>
      <w:r>
        <w:rPr>
          <w:b/>
        </w:rPr>
        <w:t>lärarinnor³</w:t>
      </w:r>
      <w:r>
        <w:rPr>
          <w:b w:val="0"/>
        </w:rPr>
        <w:t xml:space="preserve">, som nu äro gamla, vilka i sin krafts dagar ägnat sig åt </w:t>
      </w:r>
      <w:r>
        <w:rPr>
          <w:b/>
        </w:rPr>
        <w:t>flickundervisningen²</w:t>
      </w:r>
      <w:r>
        <w:rPr>
          <w:b w:val="0"/>
        </w:rPr>
        <w:t xml:space="preserve">, då staten icke hade tagit hand om den i samma utsträckning som nu, vilka också skulle varit berättigade till pension, även om de icke intagit en så framstående ställning som </w:t>
      </w:r>
      <w:r>
        <w:rPr>
          <w:b/>
        </w:rPr>
        <w:t>fröken²</w:t>
      </w:r>
      <w:r>
        <w:rPr>
          <w:b w:val="0"/>
        </w:rPr>
        <w:t xml:space="preserve"> Sandström.</w:t>
        <w:br/>
        <w:br/>
        <w:t xml:space="preserve">Här säges nu igen i dag, att detta kommer icke att hava några prejudicerande verkningar. Jo, det är just vad det kommer att hava, därför att om vi bevilja </w:t>
      </w:r>
      <w:r>
        <w:rPr>
          <w:b/>
        </w:rPr>
        <w:t>fröken²</w:t>
      </w:r>
      <w:r>
        <w:rPr>
          <w:b w:val="0"/>
        </w:rPr>
        <w:t xml:space="preserve"> Sandström denna pension, kommer ett mycket stort antal av personer bara inom lärarinnekåren att genom privata motioner begära av riksdagen att även de måtte komma i åtnjutande av pension. Pension bör icke utgå till andra än de personer som varit i statens tjänst. Skola vi gå utom denna grupp, måste det ske under rubriken nationalbelöning, och skola vi börja med nationalbelöningar för allt möjligt, — jag vill icke neka till att det förekommit vid ett par tre tidigare tillfällen att vi gjort så — anser jag, att riksdagen och bankoutskottet få vara mycket försiktiga, då de skola gå utom ramen för beviljande av understöd eller pensioner åt personer, som icke varit i statstjänst, och det kan ingen påstå, att </w:t>
      </w:r>
      <w:r>
        <w:rPr>
          <w:b/>
        </w:rPr>
        <w:t>fröken²</w:t>
      </w:r>
      <w:r>
        <w:rPr>
          <w:b w:val="0"/>
        </w:rPr>
        <w:t xml:space="preserve"> Sandström varit. Dessutom har icke hos bankoutskottet åtminstone framlagts något som helst bevis för att </w:t>
      </w:r>
      <w:r>
        <w:rPr>
          <w:b/>
        </w:rPr>
        <w:t>fröken²</w:t>
      </w:r>
      <w:r>
        <w:rPr>
          <w:b w:val="0"/>
        </w:rPr>
        <w:t xml:space="preserve"> Sandström är i behövande omständigheter; i första kammaren meddelades att </w:t>
      </w:r>
      <w:r>
        <w:rPr>
          <w:b/>
        </w:rPr>
        <w:t>hon²</w:t>
      </w:r>
      <w:r>
        <w:rPr>
          <w:b w:val="0"/>
        </w:rPr>
        <w:t xml:space="preserve"> hade någon pension från sin egen skola och från någon lärarinnesammanslutning. Detta står även återgivet i bankoutskottets utlåtande, d. v. s. om lärarinnepensionen, och det uppgavs, såvitt jag icke tar fel, att den skulle sammanlagt uppgå till 2,000 kronor. En av de fordringar, som bankoutskottet plägar uppställa vid beviljande av understöd, är att personen skalla vara obemedlad. Om detta skall beviljas, blir det som sagt en form av nationalbelöning, och jag vill varna för att vidtaga en sådan åtgärd, då den obestridligen skulle draga med sig många liknande fall, eftersom det säges varje gång här, när det föres fram spörsmål om understöd eller pension, att det icke kommer att föra med sig flera fall, ty fallet är så säreget, men ändå heter det nästa gång att då och då beviljade vi det och då och då beviljade vi det, och detta är ett lika tilllämpligt fall som det föregående. Här är som sagt icke några ömmande omständigheter, utan här gäller det den stora och framstående livsgärning, som </w:t>
      </w:r>
      <w:r>
        <w:rPr>
          <w:b/>
        </w:rPr>
        <w:t>fröken²</w:t>
      </w:r>
      <w:r>
        <w:rPr>
          <w:b w:val="0"/>
        </w:rPr>
        <w:t xml:space="preserve"> Sandström obestridligen har utfört för </w:t>
      </w:r>
      <w:r>
        <w:rPr>
          <w:b/>
        </w:rPr>
        <w:t>flickundervisningen²</w:t>
      </w:r>
      <w:r>
        <w:rPr>
          <w:b w:val="0"/>
        </w:rPr>
        <w:t xml:space="preserve"> och framför allt det </w:t>
      </w:r>
      <w:r>
        <w:rPr>
          <w:b/>
        </w:rPr>
        <w:t>flickläroverk²</w:t>
      </w:r>
      <w:r>
        <w:rPr>
          <w:b w:val="0"/>
        </w:rPr>
        <w:t xml:space="preserve"> och det lärarinneseminarium, som </w:t>
      </w:r>
      <w:r>
        <w:rPr>
          <w:b/>
        </w:rPr>
        <w:t>hon²</w:t>
      </w:r>
      <w:r>
        <w:rPr>
          <w:b w:val="0"/>
        </w:rPr>
        <w:t xml:space="preserve"> själv startade. 9Se-</w:t>
        <w:br/>
        <w:br/>
        <w:t>minariet bedrev sin verksamhet ända tills staten indrog sitt statliga understöd Ang. ifråga-</w:t>
        <w:br/>
        <w:br/>
        <w:t>s. &gt; do SN . - fen ot 4 sen . : — salt pension åt för detsamma liksom för så många andra, därför att det blev överproduktion förra skolföre-</w:t>
        <w:br/>
        <w:br/>
        <w:t xml:space="preserve">på </w:t>
      </w:r>
      <w:r>
        <w:rPr>
          <w:b/>
        </w:rPr>
        <w:t>lärarinnor³</w:t>
      </w:r>
      <w:r>
        <w:rPr>
          <w:b w:val="0"/>
        </w:rPr>
        <w:t>. | | ståndarinnan Jag hemställer därför, herr talman, om bifall till bankoutskottets yrkande. Anna Sandström.</w:t>
      </w:r>
    </w:p>
    <w:p>
      <w:pPr>
        <w:pStyle w:val="Heading2"/>
      </w:pPr>
      <w:r>
        <w:t>7. unknown (–, –)</w:t>
      </w:r>
    </w:p>
    <w:p>
      <w:r>
        <w:rPr>
          <w:b w:val="0"/>
        </w:rPr>
        <w:t>Herr talman! Såvitt jag förstår finns det ingen som helst (Forts;</w:t>
        <w:br/>
        <w:br/>
        <w:t xml:space="preserve">rimlig anledning till att ge denna skolföreståndarinna pension. </w:t>
      </w:r>
      <w:r>
        <w:rPr>
          <w:b/>
        </w:rPr>
        <w:t>Hon²</w:t>
      </w:r>
      <w:r>
        <w:rPr>
          <w:b w:val="0"/>
        </w:rPr>
        <w:t xml:space="preserve"> har icke varit i statstjänst, lärarinneseminariet drogs icke in eller nedlades icke på grund av skolreformen, utan det nedlades därför att det blev för gott om </w:t>
      </w:r>
      <w:r>
        <w:rPr>
          <w:b/>
        </w:rPr>
        <w:t>lärarinnor³</w:t>
      </w:r>
      <w:r>
        <w:rPr>
          <w:b w:val="0"/>
        </w:rPr>
        <w:t xml:space="preserve">. Vi hade för många seminarier, och </w:t>
      </w:r>
      <w:r>
        <w:rPr>
          <w:b/>
        </w:rPr>
        <w:t>hennes²</w:t>
      </w:r>
      <w:r>
        <w:rPr>
          <w:b w:val="0"/>
        </w:rPr>
        <w:t xml:space="preserve"> </w:t>
      </w:r>
      <w:r>
        <w:rPr>
          <w:b/>
        </w:rPr>
        <w:t>flickskola²</w:t>
      </w:r>
      <w:r>
        <w:rPr>
          <w:b w:val="0"/>
        </w:rPr>
        <w:t xml:space="preserve"> går alltjämt. </w:t>
      </w:r>
      <w:r>
        <w:rPr>
          <w:b/>
        </w:rPr>
        <w:t>Hon²</w:t>
      </w:r>
      <w:r>
        <w:rPr>
          <w:b w:val="0"/>
        </w:rPr>
        <w:t xml:space="preserve"> avgick på grund av hög ålder, och dessutom är att märka, att </w:t>
      </w:r>
      <w:r>
        <w:rPr>
          <w:b/>
        </w:rPr>
        <w:t>hon²</w:t>
      </w:r>
      <w:r>
        <w:rPr>
          <w:b w:val="0"/>
        </w:rPr>
        <w:t>, enligt vad i första kammaren upplystes, vilket herr Winkler också påpekade, har 2,000 kronor i pension. Det finns alltså inga ömmande omständigheter, som man kan skylla på. Skulle man pensionera alla människor, som haft en vacker livsgärning, då fick man pensionera ganska många i detta land. Jag finner ingen som helst anledning att bevilja denna pension. Jag ber, herr talman, att få yrka bifall till utskottets hemställan.</w:t>
      </w:r>
    </w:p>
    <w:p>
      <w:pPr>
        <w:pStyle w:val="Heading2"/>
      </w:pPr>
      <w:r>
        <w:t>8. Arthur Engberg (Socialdemokraterna, man)</w:t>
      </w:r>
    </w:p>
    <w:p>
      <w:r>
        <w:rPr>
          <w:b w:val="0"/>
        </w:rPr>
        <w:t xml:space="preserve">Herr talman! Jag skulle kunnat nöja mig med att instämma i det utmärkta anförande, som herr Holmdahl höll, men jag skall därutöver framföra ett par synpunkter. Det framskymtade i herr Winklers anförande, att det skulle utgöra en nationalbelöning ifall man skulle bevilja framställningen om denna pension, och att det därför icke borde gå under namn av pension. Jag vill säga herr Winkler, att i grund och botten är det väl likgiltigt, huruvida det heter pension eller gratifikation. Vad riksdagen i en sådan situation bör göra, det är att oberoende av olika etiketter visa sitt erkännande åt en pedagogisk gärning, av vilken staten själv dag för dag drar nytta. Ty hela denna pedagogiska gärning har i så utomordentligt hög grad verkat befruktande på den svenska folkuppfostran, att det är en gärd av enkel rättvisa att en sådan livsgärning honoreras. Jag tror det är en alldeles för snäv och ensidig synpunkt i allmänhet att bara hänga upp sig på att Kungl. Maj:t skall förorda saken och att riksdagen själv icke kan bedöma den. Jag beklagar att ecklesiastikministern icke är närvarande, ty jag hade haft för avsikt all säga ett par elakheter åt honom därför att han icke sin plikt likmätigt framlagt denna pensionsfråga 1 en proposition, men jag vill erinra om att det var på grundvalen av en enskild motion — jag var en av motionärerna — som det upprättades en personlig professur åt Albert Nilsson vid Lunds universitet. Vi ansågo oss kunna göra det utan någon framställning av Kungl. Maj:t, så att den där dogmatiska övertron att endast Kungl. Maj:t kan bedöma, huruvida det skall inrättas någonting här i landet eller ges en belöning eller en pension kan jag icke alls dela, och därför är jag förvånad över att bankoutskottet såväl 1 fjol som i år har hemfallit åt den synpunkten. Jag vill slutligen tillägga act att man kan icke heller i alla väder stå på den ståndpunkten, att det skall föreligga en formell statsanställning för att riksdagen skall ge något sådant. Jag anser, att en statsgagnande gärning på detta område, sådan som </w:t>
      </w:r>
      <w:r>
        <w:rPr>
          <w:b/>
        </w:rPr>
        <w:t>fröken²</w:t>
      </w:r>
      <w:r>
        <w:rPr>
          <w:b w:val="0"/>
        </w:rPr>
        <w:t xml:space="preserve"> Sandströms har varit, den har betytt så ofantligt mycket i sak, att den formella synpunkten, att </w:t>
      </w:r>
      <w:r>
        <w:rPr>
          <w:b/>
        </w:rPr>
        <w:t>hon²</w:t>
      </w:r>
      <w:r>
        <w:rPr>
          <w:b w:val="0"/>
        </w:rPr>
        <w:t xml:space="preserve"> icke varit statsanställd, måste skjutas åt sidan. Jag uttalar för min del den förhoppningen och förvissningen att andra kammaren skall hedra sig själv och sitt goda omdöme genom att emot alla formella hinder rösta för denna pensior åt denna </w:t>
      </w:r>
      <w:r>
        <w:rPr>
          <w:b/>
        </w:rPr>
        <w:t>kvinna¹</w:t>
      </w:r>
      <w:r>
        <w:rPr>
          <w:b w:val="0"/>
        </w:rPr>
        <w:t>, som hedrat landet och av vars insatser våra kommande generationer draga nytta dag för dag.</w:t>
      </w:r>
    </w:p>
    <w:p>
      <w:pPr>
        <w:pStyle w:val="Heading2"/>
      </w:pPr>
      <w:r>
        <w:t>9. Helge Bäcklund (Socialdemokraterna, man)</w:t>
      </w:r>
    </w:p>
    <w:p>
      <w:r>
        <w:rPr>
          <w:b w:val="0"/>
        </w:rPr>
        <w:t xml:space="preserve">Herr talman! Det har icke undgått bankoutskottet, att det fanns en stark stämning för beviljande av pension åt förra skolföreståndarinnan Anna Sandström för </w:t>
      </w:r>
      <w:r>
        <w:rPr>
          <w:b/>
        </w:rPr>
        <w:t>hennes²</w:t>
      </w:r>
      <w:r>
        <w:rPr>
          <w:b w:val="0"/>
        </w:rPr>
        <w:t xml:space="preserve"> livsgärning. Det är klart, att den saken visste vi om i utskottet. Men vi kunde icke låta påverka oss endast av den omständigheten, att det fanns många förespråkare för </w:t>
      </w:r>
      <w:r>
        <w:rPr>
          <w:b/>
        </w:rPr>
        <w:t>henne²</w:t>
      </w:r>
      <w:r>
        <w:rPr>
          <w:b w:val="0"/>
        </w:rPr>
        <w:t>.</w:t>
        <w:br/>
        <w:br/>
        <w:t>Frågan var ju före senast vid förra årets riksdag, och då skrev utskottet välvilligt, att därest Kungl. Maj:t prövade ärendet och kom till det resultatet, att en nationalbelöning i form av en pension här borde beviljas, så hade naturligtvis utskottet ingenting emot detta. Departementschefen har nu sedan dess prövat ärendet och kommit till det resultatet, att Kungl. Maj:t icke bör framlägga någon proposition om pension i förevarande fall. Det är ju klart, att om riksdagen vill taga på sig ansvaret, så är det en sak för sig. Men utskottet kunde naturligtvis icke ändra ståndpunkt, när nu Kungl. Maj:t icke velat gå med på vad utskottet förutsatte i sin tidigare motivering. Förra årets riksdag avslog begäran om pension, men vi trodde säkert, att det i år i första kammaren skulle komma att bli många förespråkare för denna motion, och att den där skulle gå igenom. Det befinnes emellertid nu, att första kammaren i år icke tagit motionen utan stannat för utskottets förslag, enligt vad som upplysts mig.</w:t>
        <w:br/>
        <w:br/>
        <w:t xml:space="preserve">Även om man uppskattar den gärning, som föreståndarinnan </w:t>
      </w:r>
      <w:r>
        <w:rPr>
          <w:b/>
        </w:rPr>
        <w:t>fröken²</w:t>
      </w:r>
      <w:r>
        <w:rPr>
          <w:b w:val="0"/>
        </w:rPr>
        <w:t xml:space="preserve"> Sandström utfört — och jag tror säkert, att många inom utskottet uppskatta den lika bra som en del av talarna här — så är det dock därifrån och till att gå in för en nationalbelöning ett ganska långt steg. Man bör vara försiktig, när man utdelar nationalbelöningar, så att man icke gör det utan synnerligen starka skäl. Jag anser icke, att dessa starka skäl föreligga i detta fall. Trots att en hel del av högerns representanter äro villiga att nu desavuera sin regering, kan det icke skada, att vi andra följa regeringen, när den prövat ärendet så nyligen. Och om herrarna läsa de få raders motivering, som utskottet här kostat på sig om Kungl. Maj:ts behandling av denna fråga, så tror jag, att flertalet skola bliva övertygade om att det icke är så säkert, att man bör gå in för en statspension.</w:t>
        <w:br/>
        <w:br/>
        <w:t xml:space="preserve">Dessutom låg det så till i utskottet, att en del stockholmare, som voro villiga pensionera teaterdirektören Ranft, sade ifrån, att de kunde gå med på avstyrkande av Ranfts pension, därest här ifrågavarande pension till </w:t>
      </w:r>
      <w:r>
        <w:rPr>
          <w:b/>
        </w:rPr>
        <w:t>fröken²</w:t>
      </w:r>
      <w:r>
        <w:rPr>
          <w:b w:val="0"/>
        </w:rPr>
        <w:t xml:space="preserve"> Sandström icke tillstyrktes. Men tillstyrktes denna pension, sågo de sig oförhindrade att i riksdagen även verka för pension åt Ranft. Det kanske ligger bakom denna diskussion, hos en del av ledamöterna här, att får man bara igenom denna pension åt föreståndarinnan Sandström, så kommer man sedan att tala lika varmt för en pension åt Ranft. Och jag tror, att andra kammaren icke är beredd att taga dessa båda saker.</w:t>
        <w:br/>
        <w:br/>
        <w:t>Jag hemställer, herr talman, om bifall till utskottets förslag.</w:t>
        <w:br/>
        <w:br/>
        <w:t>a a . . . : ståndarinnan</w:t>
        <w:br/>
        <w:br/>
        <w:t>vore vållande, måste lämna sin anställning, skulle — intill dess pensions-</w:t>
        <w:br/>
        <w:br/>
        <w:t>frågan för vederbörande personalgrupper komme att av riksdagen lösas —</w:t>
        <w:br/>
        <w:br/>
        <w:t>ret tilldelas pension efter de grunder, som för beräknande av förtidspension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