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1853</w:t>
      </w:r>
    </w:p>
    <w:p>
      <w:r>
        <w:rPr>
          <w:b/>
        </w:rPr>
        <w:t xml:space="preserve">Datum: </w:t>
      </w:r>
      <w:r>
        <w:t>1930-03-18</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Birger Christenson (Lantmanna- och borgarepartiet inom andrakammaren, man)</w:t>
      </w:r>
    </w:p>
    <w:p>
      <w:r>
        <w:rPr>
          <w:b w:val="0"/>
        </w:rPr>
        <w:t>Herr talman! Herr statsrådet och chefen för justitiedepartementet är att lyckönska till den stora framgång, han haft med detta viktiga och betydelsefulla förslag, som utan någon som helst ändring tillstyrkts av utskottets majoritet. Detta är enligt min uppfattning fullt naturligt, då förslaget i huvudsak är synnerligen förtjänstfullt till såväl form som innehåll. Emellertid har jag för min del på ett par punkter inte kunnat biträda utskottets majoritet.</w:t>
        <w:br/>
        <w:br/>
        <w:t>Jag skall inte nu gå in på förslaget i dess helhet utan endast uppehålla mig vid de reservationer, som jag biträtt inom utskottet. Den ena avser, som herr statsrådet nyss anförde, en ändring i förslagets 1 kap. 2 $i vad den avser förbud mot inrättande av fideikommiss i viss lös egendom eller sådan, som består av samlingar eller föremål av i reservationen närmare angiven art. Den andra avser vissa ändringar i 3 kap., som handlar om testamentes tolkning.</w:t>
        <w:br/>
        <w:br/>
        <w:t>Beträffande den första reservationen angående fideikommiss i viss lös egendom, vill jag erinra om, att det nu förefinnes en obegränsad rätt att instifta fideikommiss i lös egendom. Däremot har ju rätten att upprätta fideikommiss i fast egendom varit avskaffad allt sedan 1810, ehuru det fortfarande föreligger en möjlighet för den, som vill förordna angående flera efter varandra följande innehavare av fast egendom, att utse även testamentstagarens närmaste efterträdare. Det nu föreliggande förslaget meddelar förbud mot inrättande av fideikommiss i såväl fast som lös egendom. Man kan ju säga, att det dock kvarstår något litet av fideikommiss i en bestämmelse, som förekommer i 1 kap. 2 $, angående möjlighet att meddela förordnande till förmån för ofödda.</w:t>
        <w:br/>
        <w:br/>
        <w:t>Den reservation, varom nu närmast är fråga, avser beredande av möjlighet att, såsom hittills, kunna meddela förordnande av fideikommissnatur rörande samlingar av böcker, brev och handlingar samt föremål av historiskt, konstnärligt eller kulturellt intresse. Att riksdagen, som ju vid flera tillfällen uttalat önskan om förslag till fideikommissinstitutets avskaffande, ej saknar intresse för den betydelsefulla frågan att kunna bevara dylika samlingar och föremål framgår ju med all önskvärd tydlighet av riksdagens skrivelse 1914, däri det på tal om fideikommiss i sådan egendom bland annat uttalas följande: »Då det otvivelaktigt måste anses synnerligen önskvärt, att liknande stiftelser icke för framtiden omintetgöras, synes vid en blivande utredning rörande fideikommissinstitutionens upphävande särskild uppmärksamhet böra ägnas åt nu berörda förhållande.»</w:t>
        <w:br/>
        <w:br/>
        <w:t>Nu är det ju för närvarande ej fråga om att avskaffa redan Befintliga fideikommiss. När den frågan skall komma inför riksdagen, är ju kanske inte så lätt att säga, men det är väl antagligt, att den kommer, innan den pågående omarbetningen av ärvdabalken är fullständigt avslutad. Hur man då skall förfara med fideikommiss i sådana samlingar, varom här är fråga, är ju inte gott att veta, men jag tar för givet, att man inte går till väga på det sättet, att man utan vidare upphäver fideikommissnaturen och således gör det möjligt för den dåvarande innehavaren att fritt skingra dessa föremål, som ju ofta äro av synnerligen stor både historisk och kulturell betydelse. Jag behöver ju bara erinra om en sådan samling som den, vilken finnes på Skokloster, och som väl i värde uppgår till många miljoner kronor. Denna samling har kunnat bevaras just tack vare den lagbestämmelse, som möjliggjort inrättande av fideikommiss. Jag är säker på att man vid en avveckling av fiderkommissinstitutet skall vara angelägen tillse, att en sådan samling ej skall behöva skingras.</w:t>
        <w:br/>
        <w:br/>
        <w:t>Reservanterna ha ansett, att det inte skulle vara någon fara, om man läte möjligheten att inrätta fideikommiss i dylika samlingar finnas kvar, till dess man skall avgöra frågan om avveckling av de bestående fideikommissen i sådan egendom. Det är ju möjligt, att om man kan finna ett sätt för avveckling, som möjliggör bibehållande av en samling, något liknande även i framtiden kan tilllämpas för den som vill göra en sådan stiftelse.</w:t>
        <w:br/>
        <w:br/>
        <w:t>Man kan naturligtvis säga, att, om det är någon, som har en samling värdefulla kulturföremål och vill bevara dem samlade även för framtiden, det är lämpligast, att han donerar dem till ett museum. Detta är ju alldeles riktigt, men det kan ju också hända, att han önskar att på något sätt fästa denna samling, kanske bestående av släktporträtt, vid sina efterkommande, och har han inte möjlighet härtill, får frågan om samlingens bevarande förfalla och den</w:t>
        <w:br/>
        <w:br/>
        <w:t>delas mellan hans arvingar. Det har också sagts, att denna fråga nog lätt kan ordnas genom samlingens överförande till en stiftelse. Ja, det är ju mycket möjligt, men här föreligger inte någon närmare utredning om, under vilka former detta skulle ske, och om det är möjligt för den, som vill göra en sådan stiftelse, att få något inflytande med avseende å sina efterkommande. Det torde enligt min uppfattning vara lämpligast att avvakta en närmare utredning i detta avseende, innan man går ifrån den möjlighet att skydda och bevara samlingar, som lagen nu lämnar.</w:t>
        <w:br/>
        <w:br/>
        <w:t>Vidare har man sagt, att det kanske inte finns medel att underhålla en stiftelse av detta slag, om man nu vill inrätta en sådan, och jag tyckte nästan, att herr statsrådet använde ett så starkt ord som att denna väg inte var framkomlig på denna grund. Härtill vill jag erinra, att det kan tänkas åtskilliga samlingar av mindre omfattande natur, såsom t. ex. en samling porträtt eller några enstaka familjeklenoder såsom bägare och dylikt, beträffande vilka man inte alls behöver räkna med några särskilda kostnader för underhåll. Men även om dylika kostnader skulle erfordras, torde denna sak lätt kunna ordnas så, att den som vill göra en stiftelse av ifrågavarande slag i och för underhåll av samlingen deponerar ett belopp i en bank och banken åtager sig att tillhandahålla dessa medel för det angivna ändamålet. Jag kan ej tro annat, än att detta skulle kunna gå för sig.</w:t>
        <w:br/>
        <w:br/>
        <w:t>Enligt min uppfattning är det ett stort allmänt intresse, att samlingar av den natur, som det här är fråga om, för framtiden bevaras. Man bör då ej resa hinder emot utan snarare uppmuntra åtgärder, ägnade att verka i denna riktning. I varje fall tala goda skäl för att man i detta avseende bibehåller den nu gällande rättsordningen åtminstone tills vidare. Som jag redan förut nämnt, kommer det säkerligen inte att dröja allt för länge, innan frågan om avveckling av fideikommissen tages upp, och då kan det vara lämpligt att i detta sammanhang ägna förnyad uppmärksamhet åt denna fråga och att vidtaga de åtgärder som kunna befinnas lämpliga. På de skäl jag nu anfört kommer jag, när vi hunnit till denna punkt i förslaget, att yrka bifall till reservationen.</w:t>
        <w:br/>
        <w:br/>
        <w:t>Vidare har jag och ett par andra ledamöter av utskottet reserverat oss med avseende å vissa bestämmelser i 3 kap. av det föreliggande förslaget. Detta kapitel handlar om testamentes tolkning. Man har här infört den nyheten att 1 lagen inskriva vissa tolkningsregler, som skola gälla, där intet annat framgår av testamentet. Mot ett sådant förfarande i och för sig är intet att erinra, ehuru man ju hittills rett sig utan dylika regler. Det har varit rättspraxis, som fått avgöra i tvistiga fall, och så småningom har man på det sättet kommit fram till vissa regler, och det är ju åtminstone i huvudsak dessa av rättspraxis utbildade regler, som förslaget upptagit. Det finns emellertid på ett par punkter bestämmelser, som förefalla mig och mina medreservanter mindre lämpliga. Om man skall införa tolkningsregler, som skola gälla, därest i testamentet icke finnes utsatt något annat, bör man vara säker på att man inte gör något misstag eller, rättare sagt, att något misstag icke följer av vederbörande bestämmelse.</w:t>
        <w:br/>
        <w:br/>
        <w:t>I 5 $ finns ett stadgande, att, om det gjorts förordnande angående viss cgendom och denna egendom på grund av inteckning eller eljest är besvärad av panträtt eller annan rättighet, skall inte testamentstagaren få någon ersättning i anledning härav, d. v. s. han får å den testamenterade egendomen vidkännas avdrag för gravationen. Beträffande fast egendom är denna sak. såsom herr statsrådet anförde, tämligen självklar. Om man testamenterar bort en fastighet, som är besvärad av inteckning, får den person, som erhåller fastigheten, också svara för inteckningen. Men saken är inte lika klar. när det gäller lös egendom. Jag tänker mig det fallet, att en person äger en post</w:t>
        <w:br/>
        <w:br/>
        <w:t xml:space="preserve">obligationer å t. ex. 10,000 kronor. Han tycker, att dessa värdepapper äro en synnerligen god placering. Han vill därmed tillgodose en person, som ej är så ekonomiskt förfaren, kanske sin </w:t>
      </w:r>
      <w:r>
        <w:rPr>
          <w:b/>
        </w:rPr>
        <w:t>hushållerska³</w:t>
      </w:r>
      <w:r>
        <w:rPr>
          <w:b w:val="0"/>
        </w:rPr>
        <w:t xml:space="preserve">, och han har skaffat sig dessa papper just för </w:t>
      </w:r>
      <w:r>
        <w:rPr>
          <w:b/>
        </w:rPr>
        <w:t>hennes²</w:t>
      </w:r>
      <w:r>
        <w:rPr>
          <w:b w:val="0"/>
        </w:rPr>
        <w:t xml:space="preserve"> räkning och testamenterar dem till </w:t>
      </w:r>
      <w:r>
        <w:rPr>
          <w:b/>
        </w:rPr>
        <w:t>henne²</w:t>
      </w:r>
      <w:r>
        <w:rPr>
          <w:b w:val="0"/>
        </w:rPr>
        <w:t xml:space="preserve">. Så händer det, att han av någon tillfällighet behöver kontanter. Han har visserligen en mycket god ekonomi men har sina tillgångar bundna och behöver taga ett lån. Han belånar obligationerna kanske till i det närmaste fulla värdet, och han har ingen tanke på annat i detta fall, än att han skall lösa in lånet och att hans </w:t>
      </w:r>
      <w:r>
        <w:rPr>
          <w:b/>
        </w:rPr>
        <w:t>hushållerska³</w:t>
      </w:r>
      <w:r>
        <w:rPr>
          <w:b w:val="0"/>
        </w:rPr>
        <w:t xml:space="preserve"> skall få sin donation ograverad. Men så faller han plötsligt ifrån, innan han hunnit lösa in lånet. Han har inte talat med någon om denna sak och ej heller i testamentet eller eljest givit någon antydan om huru det för sådant fall skall förfaras. Oaktat bestämmelsen i 1 8, som säger, att i första hand är det testators vilja, som skall vara avgörande, kommer kanske denna tolkningsregel i 5 $ att träda i tillämpning. Och då obligationerna kanske äro belånade för 8- eller 9,000 kronor, får </w:t>
      </w:r>
      <w:r>
        <w:rPr>
          <w:b/>
        </w:rPr>
        <w:t>hushållerskan³</w:t>
      </w:r>
      <w:r>
        <w:rPr>
          <w:b w:val="0"/>
        </w:rPr>
        <w:t xml:space="preserve"> således inte mer än ett eller två tusen kronor.</w:t>
        <w:br/>
        <w:br/>
        <w:t>Det är ju möjligt, att ett sådant fall ej så ofta skulle inträffa, men det är ingalunda otänkbart. Och då denna bestämmelse även i andra fall synes kunna leda till otillfredsställande resultat, torde det vara lämpligast att utesluta den ur förslaget och i detta avseende såsom hittills lita till rättspraxis.</w:t>
        <w:br/>
        <w:br/>
        <w:t>Sedan är det en annan tolkningsregel, mot vilken vi framfört erinringar, nämligen mot bestämmelsen i 8 $ av samma kapitel. Där stadgas, att, om någon gjort testamente till sin trolovade eller make och trolovningen eller äktenskapet därefter upplöses annorledes än genom testators död, förordnandet skall vara utan verkan. Ja, det kan givetvis vid ett första påseende förefalla mycket naturligt med en sådan bestämmelse. I det övervägande antalet fall är det väl så, att om ett par äkta makar gjort inbördes testamente och det blir skilsmässa, så kan man antaga, att det ej är deras mening, att detta testamente skall gälla. Men om det också förhåller sig så i det stora flertalet fall, så tror jag dock, att i vår tid, då tyvärr skilsmässor förekomma i ett mycket stort antal, det icke desto mindre någon gång händer, att inte en sådan där djup och varaktig söndring, som lagen talar om, förekommer mellan makarna. De ha endast kommit underfund med att de icke passa för varandra, och så skiljas de åt i bästa sämja och endräkt. Under sådana förhållanden ligger det icke något för dem motbjudande däri, att, när den ene maken går bort, den överlevande får åtnjuta testamente efter den avlidne. Man kan ju tänka sig, att makarna icke ha några barn och icke heller några närmare arvingar, så att det kanske blir arvsfonden, som, därest testamente ej finnes, får träda till och ärva kvarlåtenskapen. I sådana fall torde det kunna antagas, att den avlidne maken mycket hellre skulle sett, att den efterlevande erhållit egendomen.</w:t>
        <w:br/>
        <w:br/>
        <w:t>Om nu makar upprättat ett inbördes testamente och skilsmässa uppkommer, så är det väl alldeles givet, att, om sådana förutsättningar finnas, att man vill att testamentet skall vara utan verkan, ett sådant testamente kommer att rivas sönder eller makuleras eller eljest sättas ur kraft, vilket ju enligt förslaget även kan ske genom ett tillkännagivande av vederbörande. Om det däremot skulle inträffa, att ett dylikt testamente finnes kvar efter den avlidne maken utan något särskilt meddelande, så torde det just på grund av denna omständighet kunna antagas, att det varit vederbörandes mening, att förordnandet skall gälla.</w:t>
        <w:br/>
        <w:br/>
        <w:t>Men det finnes även en annan omständighet som gör att man reagerar litet emot denna paragraf. Om man skrivit under en rättshandling av den vikt och betydelse som ett testamente, så skall man väl ha klart för sig vad detta innebär och, om man ej längre vill att den skall gälla, vidtaga åtgärder för</w:t>
        <w:br/>
        <w:br/>
        <w:t>dess upphävande. Det är väl litet underligt, att en sådan handling skall kunna sättas ur kraft utan någon som helst åtgärd från den persons sida, som upprättat den. Det är enligt mitt förmenande i viss mån ägnat att avtrubba ansvarskänslan för de handlingar man skriver under, om man lagstiftar på detta sätt. Jag anser sålunda, att goda skäl tala för, att 5 och 8 $$ i 3 kap. testamentslagen utgå ur förslaget.</w:t>
        <w:br/>
        <w:br/>
        <w:t>Vår reservation avser därjämte en annan sak av mera formell natur, en sak, som också gäller tredje kapitlet. Som jag förut framhållit, stadgas i 1 8 av detta kapitel, att det är testators vilja, som skall vara det avgörande. Detta är helt naturligt huvudregeln. Men så heter det vidare: »och skall förty vad nedan i 2—9 $$ stadgas lända till efterrättelse, allenast såvitt icke med hänsyn till förordnandets syfte och övriga omständigheter annat får anses följa av förordnandet». Ja, det där kan ju vara mycket bra, men sedan följa dessa åtta fristående paragrafer utan någon hänvisning till nyssnämnda huvudregel i $ 1. Nu kan man ju säga, att de som skola tillämpa lagen, domare och andra jurister, naturligtvis skola kunna 1 $, och att det alltså icke bör vara någon tvekan från deras sida om att dessa lösryckta paragrafer icke få läsas annat än i samband med 1 $. Men nu är det så i vårt land, att det finnes en mängd juridiskt oskolade personer, särskilt på landsbygden, vilka syssla med boutredningar och dylika angelägenheter, och för dem är saken kanske icke lika klar. Det är icke så givet, att de så grundligt gått igenom alla dessa bestämmelser, att de alltid hava $ 1 i minnet.</w:t>
        <w:br/>
        <w:br/>
        <w:t>Jag skall taga ett exempel, som berör legaten, varom stadgas i 3 $ av detta kapitel. Det heter där: »Kunna samtliga legat ej utgå, skall legat, som avser viss egendom, äga företräde framför annat, men skall i övrigt nedsättning ske efter legatens värde.» Ja, nu kommer kanske vid boutredningen någon av testamentstagarna och säger, att den avlidne sagt, att det var hans mening med testamentet, att legaten skulle utgå i den ordning, vari de upptagits i testamentet. Det kan ju falla sig ganska naturligt att så att säga gradera legaten på det sättet, och det händer rätt ofta, att folk menar att legaten skola utgå i denna ordning utan att något härom utsagts i testamentet. Testator kan ha uttalat denna mening till andra anhöriga eller till tredje man, och nu kommer denna testamentstagare och förklarar, att så och så hade den avlidne sagt och det var hans mening. Varför skulle inte det gälla? Då läser utredningsmannen upp 3 $ och säger, att, om icke alla legaten kunna utgå, så skall nedsättning ske efter legatens värde, såvitt det icke gäller legat, som avser viss egendom. Arvingarna, som kanske icke ha närmare reda på denna lagstiftning, böja sig inför denna bestämmelse, när de få paragrafen uppläst för sig, saken kommer icke fram till domstol, och det blir aldrig någon rättelse. Jag menar alltså, att en sådan fristående bestämmelse i en mängd fall lätt kan leda till misstag och missförstånd samt en oriktig tillämpning av testamentet, en tillämpning, som icke överensstämmer med vad testator verkligen velat. Det har ju också med ganska stor styrka framhållits av lagrådet, att det vore lämpligare att sammanföra alla dessa paragrafer, som innehålla tolkningsregler, såsom olika moment under 1 $ eller i varje fall under en enda paragraf. Skulle man nu reflektera på att bifalla den reservation, som vi avgivit och där vi föreslå uteslutandet av två paragrafer, nämligen 5 och 8 $$, och man dessutom, såsom reservanterna också föreslagit, skulle vilja vara med om att låta 9 $, som innehåller stadgande angående ändamålsbestämmelse, utgöra en paragraf för sig och där omnämnde huvudregeln 1 1 $, så finge man en paragraf, som icke alls hade det skrymmande och kanske skrämmande utseende, som paragrafen skulle fått, om man bibehållit alla dessa åtta tolkningsregler som moment under 1 $. Det framgår av reservationen, hur den av oss tänkta uppställningen skulle komma att se ut. Det blir ju endast fem mo-</w:t>
        <w:br/>
        <w:br/>
        <w:t>ment i den paragraf, som börjar med följande stycke: »Vid tolkningen skall vad nedan i 1.—5. stadgas lända till efterrättelse, såvitt icke annat får antagas överensstämma med testators vilja.»</w:t>
        <w:br/>
        <w:br/>
        <w:t>Jag tror, att om man tar denna uppställning, så kunna icke gärna misstag av den natur, jag nyss angav, inträffa, och jag tror därför, att det skulle vara ganska lämpligt, om man ville gå in för den ändring i förslaget, som reservanterna på denna punkt ha framfört. Jag kommer också framdeles att yrka bifall till denna reservation.</w:t>
      </w:r>
    </w:p>
    <w:p>
      <w:pPr>
        <w:pStyle w:val="Heading2"/>
      </w:pPr>
      <w:r>
        <w:t>2. Axel Lindqvist (Socialdemokraterna, man)</w:t>
      </w:r>
    </w:p>
    <w:p>
      <w:r>
        <w:rPr>
          <w:b w:val="0"/>
        </w:rPr>
        <w:t>Herr talman, mina herrar! Jag tror för min del, att det varit lyckligast, om vi kunnat få det ordnat på det sättet, att debatten i denna fråga förts vid de olika paragraferna, ty därigenom hade det blivit större möjligheter för oss alla att följa med. Med det sätt, på vilket vi nu börjat föra debatten, är det väl inte utan, att det blir litet pytt i panna av det hela; man pratar än om ett och än om ett annat. För min personliga del kommer jag att i detta mitt anförande hålla mig endast till den reservation, som är framförd av herr Christenson m. fl. och som rör fideikommissinstitutionen. Vad angår övriga delar av utskottsutlåtandet, skall jag naturligtvis överlåta åt utskottets vice ordförande att i de punkter, där vi äro eniga, föra utskottets talan.</w:t>
        <w:br/>
        <w:br/>
        <w:t>I fråga om den reservation, som herr Christenson m. fl. avgivit i nyssberörda ämne, har ju redan herr statsrådet och chefen för justitiedepartementet anfört vad som kan vara att anföra såsom motiv för det lagstadgande, som därvidlag har föreslagits. Jag kan sålunda även där fatta mig mycket kort. Jag har lagt märke till, att herr Christenson i sin reservation erinrar om riksdagsskrivelsen 1914. Reservanterna påpeka, att riksdagen i denna skrivelse framhöll, att de grunder, vilka voro bestämmande för riksdagens ståndpunkt i fråga om fideikommissinstitutionens upphävande, uppenbarligen i övervägande grad hänförde sig till fideikommisstiftelse i fast egendom. Ja, jag skall inte tvista med herr Christenson om den saken, men jag ber att få erinra om att riksdagen år 1914 begärde att få en utredning rörande de i riket bestående fideikommisstiftelser i såväl fast som lös egendom samt att Kungl. Maj:t skulle »taga under övervägande på vilka villkor nu bestående fideikommisstiftelse må, där ej särskild anledning till undantag föreligger, kunna upphävas». Samtidigt som riksdagen avlät denna skrivelse till Kungl. Maj:t, uttalade sig riksdagen för förbud mot nya fideikommisstiftelser i lös egendom. Riksdagen hade ju fullgod anledning att begränsa sig till detta uttalande om förbud mot nya fideikommissstiftelser i lös egendom, då ju förbud mot att göra fideikommiss i fast egendom förefunnits i över hundra år.</w:t>
        <w:br/>
        <w:br/>
        <w:t>När riksdagen avlät denna skrivelse till Kungl. Maj:t, så kunde väl riksdagen knappast tro, även med vetskap om, vilken oerhört lång tid det i allmänhet tager här i landet, när det gäller att få en fråga utredd, att det skulle behöva draga så lång tid, som det uppenbarligen kommer att göra att få denna saken klar, ty ännu lär det dröja, innan riksdagen har att motse det förslag, som åsyftades i riksdagens skrivelse år 1914.</w:t>
        <w:br/>
        <w:br/>
        <w:t>Nu har lagberedningen, som haft att upprätta förslag till ny testamentslag, också fått sig denna riksdagsskrivelse tillställd, och det är från lagberedningen, som vi sålunda ha att motse förslag till upplösning eller avveckling av redan bestående fideikommiss. Jag har vid detta tillfälle velat passa på att uttala den uppfattningen, att det vore önskvärt, att det inte dröjer alltför länge, innan lagberedningen har sitt förslag i denna sak färdigt, och riksdagen blir satt i tillfälle att pröva detsamma.</w:t>
        <w:br/>
        <w:br/>
        <w:t>Jag tror, att de, som voro med om att avlåta denna riksdagsskrivelse, fortfarande ha samma uppfattning som då och att följaktligen de skäl, som anfördes i denna riksdagsskrivelse, alltjämt anses bärande. Nu har lagberedningen</w:t>
        <w:br/>
        <w:br/>
        <w:t>framhållit, att anledningen till att arbetet måst läggas på sätt, som nu har skett, varit den, att man först ville ha testamentslagen klar, så att man kunde se hur densamma komme att verka och härigenom få en utgångspunkt för det fortsatta arbetet. Med vad jag nu har sagt har jag ingalunda velat rikta något klander mot lagberedningen utan endast velat uttala en förhoppning, att det inte måtte dröja alltför länge, innan vi på riksdagens bord få fram ett förslac cm fiderkommissinstitutionens upphävande.</w:t>
        <w:br/>
        <w:br/>
        <w:t>I fråga om den reservation, som herr Christenson här har avgivit, skall jag</w:t>
        <w:br/>
        <w:br/>
        <w:t>be att få hänvisa till vad lagberedningen i detta fall har sagt. Lagberedningens -</w:t>
        <w:br/>
        <w:br/>
        <w:t>yttrande sammanfaller ju i sak med vad herr statsrådet och chefen för Justitiedepartementet i dag har anfört. Såvitt jag kunnat finna, har varken lagberedningen eller justitieministern och ej heller utskottsmajoriteten, som ju intagit samma ståndpunkt som lagberedningen och justitieministern, haft någon annan uppfattning än herr Christenson i fråga om önskvärdheten av att gamla samlingar och böcker och överhuvud allt som kan giva oss ett vittnesbörd om huru våra förfäder ha levat och verkat, att allt detta, som vi alla skatta så högt, bevaras till kommande tider. Vi förstå alla betydelsen härav och behjärta, att så mycket som möjligt av allt detta blir bevarat.</w:t>
        <w:br/>
        <w:br/>
        <w:t>Men nu har lagberedningen sagt — och jag tror, att det är fullkomligt riktigt — att det numera skulle vara utsiktslöst att söka vinna detta mål genom att hålla möjligheten öppen att göra samlingar av ifrågavarande slag till fideikommiss. Detta stöter på praktiska svårigheter, och dessa äro av den art, att ett inskrivande i lagen av den bestämmelse, som herr Christenson föreslagit, icke skulle få den verkan, som han tror, att den skulle få.</w:t>
        <w:br/>
        <w:br/>
        <w:t>Herr Christenson har själv, såsom herr statsrådet också påpekat, senast vid föregående års riksdag haft en motion, i vilken han erinrat om, att det inte går att bevara dessa fideikommisstiftelser i lös egendom, och det är ju fideikommiss av det slaget han här talat om. Jag måste säga, att när jag fick se, att herr Christenson ställde sig bakom den Ekmanska motionen i första kammaren, då blev jag verkligen förvånad, ty jag tror mig eljest ha funnit, att herr Christenson söker få fram sådana lagförslag, som gå att praktiskt genomföra och som verkligen kunna bli till någon nytta. Men i detta fall har herr Christenson själv i sin motion under fjolårets riksdag sagt, att den bestämmelse, som det här är fråga om, är utan betydelse.</w:t>
        <w:br/>
        <w:br/>
        <w:t>Det vill förefalla mig, som om vad utskottet med utgångspunkt i lagberedningens yttrande här uttalat, nämligen att bevarandet av dessa samlingar av böcker och konstföremål kan ske på ett bättre sätt, om man inrättar en stiftelse för detta ändamål, det vill förefalla mig, säger jag, som om detta uttalande vore fullständigt riktigt. Jag tror för min del, att det på det sättet skulle finnas möjlighet att för eftervärlden bevara dessa saker, men jag tror inte, att detta lyckas genom att inrätta något slags fideikommissinstitution för ändamålet. Ty sedan man i övrigt upplöst fideikomisstiftelserna i fast och lös egendom och det således icke finnes vare sig fastigheter, i vilka samlingarna kunde förvaras. eller kapital, så att man kan anställa personer för att handhava vården av dessa samlingar, så måste det i många fall bli mycket svårt för dem, som skola vårda samlingarna, att ekonomiskt komma ut med denna uppgift. I de flesta fall komma samlingarna att skingras, och lagen kommer icke att bli till någon nytta.</w:t>
        <w:br/>
        <w:br/>
        <w:t>Jag kommer därför, herr talman, när denna paragraf föredrages, att, i hindelse herr Christenson gör yrkande om bifall till sin reservation, yrka bifall till utskottets hemställan.</w:t>
      </w:r>
    </w:p>
    <w:p>
      <w:pPr>
        <w:pStyle w:val="Heading2"/>
      </w:pPr>
      <w:r>
        <w:t>3. Oscar Johanson (Folkpartiet, man)</w:t>
      </w:r>
    </w:p>
    <w:p>
      <w:r>
        <w:rPr>
          <w:b w:val="0"/>
        </w:rPr>
        <w:t>Herr talman! Jag vill till en början säga det, att den testamentslag, som här föreligger, i stort sett överensstämmer med</w:t>
        <w:br/>
        <w:br/>
        <w:t>den praxis, som gör sig gällande bland folk i allmänhet; och då lagen fastställer denna praxis, kan den alltså hälsas med tillfredsställelse.</w:t>
        <w:br/>
        <w:br/>
        <w:t>Det är, som vi finna av utskottets betänkande, några punkter, där olika meningar gjort sig gällande vid utskottets behandling av detta lagförslag, och jag har nu begärt ordet för att säga något med anledning av en reservation, som avgivits av herr Larson i Lerdala m. fl. angående förslaget till lag om testamente. Vi ha i denna reservation i sammanträngd form angivit de skäl, som varit avgörande för oss, då vi på denna punkt framställt ett yrkande, som i någon mån avviker från utskottets förslag.</w:t>
        <w:br/>
        <w:br/>
        <w:t>Testamentslagen är en lag, som i särskilt hög grad läses av menige man och av allmänheten på egen hand tillämpas, och vissheten om att ett på egen hand eller med biträde av någon förtroendeman i hemorten uppgjort testamente är riktigt och oklanderligt, är för den allmänna sammanlevnaden av den betydelse att ingen tvekan därom bör genom svårförståeliga uttryck i lagtexten uppkallas. Att otillbörligt inflytande å testator tillagts avgörande betydelse vid prövning av testamentes giltighet kan, vilket vi sagt i vår reservation, hälsas med verklig tillfredsställelse. Sådana fall torde förekommit, då ett dylikt inflytande övats å testators beslut, och testamentet skäligen icke bort få gälla såsom uttryck för den yttersta viljan. Då det otillbörliga inflytandet hittills icke uttryckligen erkänts rubba testamentes giltighet, fyller sålunda förslaget på den punkten en brist i vår hittillsvarande lagstiftning. Att för övrigt ogiltighetsgrunder, som redan genom avtalslagen fastställts för rättshandlingar på förmögenhetsrättens område, bliva utsträckta att gälla även för testamenten, synes mig vara riktigt.</w:t>
        <w:br/>
        <w:br/>
        <w:t xml:space="preserve">Utskottsförslaget innefattar ytterligare en, enligt reservanternas mening icke lycklig utvidgning av avtalslagens regler, nämligen att vid sidan av tvång och missbruk av testators oförstånd eller beroende ställning jämväl uppställts såsom en särskild ogiltighetsgrund, att någon förmått testator att upprätta testamente genom missbruk av hans »viljesvaghet». Då otillbörlig påverkan nu uppställts som ogiltighetsgrund, kommer testators viljesvaghet automatiskt till beaktande, när det gäller att utröna, huruvida en mot honom övad påtryckning bör anses hava inverkat på testamentets tillkomst eller innehåll. Ordet »viljesvaghet» anse vi därför, såsom vi yrkat, kunna uteslutas ur lagtexten. Ordet »viljesvaghet» är ett mångtydigt ord, som kan ge anledning till felaktiga tolkningar. Om det t. ex. kan med rätta sägas, att en människa är viljesvag 1 många stycken och särskilt gentemot frestelserna i livet, behöver detta icke alls innebära, att </w:t>
      </w:r>
      <w:r>
        <w:rPr>
          <w:b/>
        </w:rPr>
        <w:t>hon²</w:t>
      </w:r>
      <w:r>
        <w:rPr>
          <w:b w:val="0"/>
        </w:rPr>
        <w:t xml:space="preserve"> varit i minsta mån viljesvag, när det gällde att avgöra frågan om vart </w:t>
      </w:r>
      <w:r>
        <w:rPr>
          <w:b/>
        </w:rPr>
        <w:t>hennes²</w:t>
      </w:r>
      <w:r>
        <w:rPr>
          <w:b w:val="0"/>
        </w:rPr>
        <w:t xml:space="preserve"> förmögenhet efter </w:t>
      </w:r>
      <w:r>
        <w:rPr>
          <w:b/>
        </w:rPr>
        <w:t>hennes²</w:t>
      </w:r>
      <w:r>
        <w:rPr>
          <w:b w:val="0"/>
        </w:rPr>
        <w:t xml:space="preserve"> död skulle taga vägen, utan </w:t>
      </w:r>
      <w:r>
        <w:rPr>
          <w:b/>
        </w:rPr>
        <w:t>hon²</w:t>
      </w:r>
      <w:r>
        <w:rPr>
          <w:b w:val="0"/>
        </w:rPr>
        <w:t xml:space="preserve"> kan i detta hänseende vara lika klar och viljekraftig, som vilken annan människa som helst. Den gamla rättsregeln, att ett testamente för att äga giltighet skall vara uppgjort med sunt förstånd och av fri vilja, är väl känd och lättförståelig för allmänheten. Om ordet viljesvaghet utgår i 3 $, närma vi oss mera, enligt mitt förmenande, än vad utskottets förslag gör även i fråga om uttryckssättet den nu nämnda rättsregeln, att ett testamente för att vara gällande skall vara tillkommet av fri vilja.</w:t>
        <w:br/>
        <w:br/>
        <w:t>Jag har, herr talman, velat yttra dessa ord nu vid detta tillfälle och ämnar, när denna paragraf kommer före, framställa ett yrkande i överensstämmelse med den reservation, som på denna punkt avgivits av undertecknad jämte herrar Larson i Lerdala, Fehr och Olsson i Ramsta.</w:t>
      </w:r>
    </w:p>
    <w:p>
      <w:pPr>
        <w:pStyle w:val="Heading2"/>
      </w:pPr>
      <w:r>
        <w:t>4. Gustaf Adolf Björkman (Första kammarens nationella parti, man)</w:t>
      </w:r>
    </w:p>
    <w:p>
      <w:r>
        <w:rPr>
          <w:b w:val="0"/>
        </w:rPr>
        <w:t>Herr talman! Herr statsrådet uttalade i början av sitt anförande sin tillfredsställelse med det sätt, varpå utskottet behandlat denna kungl. proposition, som genomlöpt utskottets skärseld och nu föreligger till avgörande i kamrarna i samma skick, som den kommit från Kungl. Maj:t. Jag</w:t>
        <w:br/>
        <w:br/>
        <w:t>skulle här, vilja särskilt understryka vad som för övrigt redan stickvis uttalats här i kammaren, nämligen att utskottet har funnit, att denna lag från lagberedningen och Kungl. Maj:t erhållit en utformning, som påminner åtskilligt om de gamla goda, koncisa och ändamålsenliga reglerna i den av oss alla med vördnad sedda 1734 års lag. Man kan tycka, att det är en del nya rättsregler, som kommit fram här, men när man ser dem mot bakgrunden av 1734 års lag, så finner man dem dock i stort vara desamma som i denna lag, ehuru det hela blivit ett koncist framlagt lagfästande av huru rättspraxis gestaltat sig. De rättsregler, som finnas här äro nu sådana, att de i allmänhet kunna förstås av menige man, och detta är desto viktigare, som vi här röra oss på rättsområden. där menige man har ett så oändligt stort intresse att tillvarataga. Det är kanhända därför, som det, trots den anslutning, som skett till Kungl. Maj:ts från lagberedningen emanerande förslag, kommit fram vissa skiljaktiga önskemål i både den ena och den andra punkten. Detta visar, att man än ytterligare har velat poängtera, att just detta ämne har stort intresse för svenska folket. Och något annat behöver det väl ej betyda, då riksdagsmännen, säkra att lagen, låt vara med vissa ändringar, skall fastslås, nu endast i sparsam flock åhöra den här debatten i avvaktan på ett ämne, som intresserar dem mer, nämligen ett sådant, där statsbudgetära synpunkter kunna anläggas. Men vi ha dock icke så ofta tillfälle att tala om lag här. Nu är det väl så, att man längtar liksom till evangelium i form av det på föredragningslistan närmast följande statsutskottets utlåtande. Jag skall därför icke taga tiden alltför länge i anspråk, när det gäller denna lag.</w:t>
        <w:br/>
        <w:br/>
        <w:t>Det är, som herr Lindqvist sade, icke så lätt att tala om alla dessa olika paragrafer på en gång och lägga allting i samma kittel. Jag skall emellertid komma med några små bidrag till anrättningen och skall be att punktvis få tala om vad som förekommer i de reservationer, som jag har anledning att syssla med.</w:t>
        <w:br/>
        <w:br/>
        <w:t>Herr Lindqvist i Halmstad tog här upp till kritik vad herr Christenson anfört till stöd för den reservation, som vi avgivit för att försöka att i någon mån få ett uppskov åtminstone med den beskärning av möjligheterna för att rädda kulturella föremål, som vi till det allra yttersta vilja försöka hämma. Vi förstå tillfullo, att det kan vara mycket svårt att få denna sak reglerad, men med hänsyn till den ståndpunkt, som riksdagen gått in för redan 1914, då det begärdes en utredning, ha vi icke kunnat finna, att den utredning, som rent lagtekniskt föreligger från lagberedningens sida, skulle vara den sista, innan man fattade beslut i detta ärende. TLagutskottet har ju själv sagt, som herr Christenson nyss påpekade, att det kunde finnas någon tvekan i denna punkt, och det är just på denna tvekan, som vi slå ner, när vi be, att riksdagen också skulle vilja hysa denna tvekan och ordna om med ett uppskov härutinnan, så utt denna fråga till äventyrs kunde komma upp i nytt, förändrat skick, när den slutliga avlösningen av fideikommiss i fast egendom skall äga rum. Det kan väl finnas många uppslag att tänka på, men jag vill icke vidare ingå på denna punkt, då herr Christenson nyss så ingående särskilt sysslade därmed.</w:t>
        <w:br/>
        <w:br/>
        <w:t>Jag övergår till nästa kapitel, nämligen 3:e kapitlet, där det är fråga om tolkning av testamente. Herr Christenson m. fl. ha här reserverat sig, och herr Christenson sade nyss med avseende å de särskilda tolkningsreglerna att han icke vill ha andra regler än sådana, som äro särskilt klara och beträffande vilka man icke kunde hysa någon tvekan om deras rätta innebörd. Men att finna sådana regler är ju omöjligt, och det är just för sådana fall, som man måste falla tillbaka på 1 $i detta kapitel, som direkt säger ifrån att åt »testamente skall givas den tolkning, som må antagas överensstämma med testators vilja; och skall förty vad i 2—9 $$ stadgas lända till efterrättelse, allenast såvitt icke</w:t>
        <w:br/>
        <w:br/>
        <w:t>med hänsyn till förordnandets syfte och övriga omständigheter annat får anses följa av förordnandet».</w:t>
        <w:br/>
        <w:br/>
        <w:t>Herr Christenson har jämte sina medreservanter bl. a. velat, att man skulle försöka sammanföra samtliga dessa tolkningsregler under en paragraf. Utskottet har reagerat häremot. Det var emellertid icke utan noggrant övervägande, och även vi voro en gång forskande på samma bog som herr Christenson nu är. Alla funno vi, att det kunde vara något förledande för en lekman, ja även för en s. k. lagklok att, när han slår upp i lagen, finna en kategorisk föreskrift om en viss tolkningsregel. Men man får väl i alla fall ha det förtroendet för vederbörande, att de skola ha läst kapitlet ifrån början. Det blir icke bättre, om man sammanför de olika reglerna i en paragraf. Det blir rent lagtekniskt omöjligt att sammanföra så många olika ting under en och samma kapprock. Det skulle i själva verket, när det gäller denna lag, som i övrigt är så kort och koncis, verka rent av skrämmande. Jag kan medgiva, att det går lättare att sätta in de fem moment, som herr Christenson ville ha kvar, under en och samma paragraf än våra åtta paragrafer, men därifrån och till att komma undan de lagtekniska oegentligheterna, är ett stort steg.</w:t>
        <w:br/>
        <w:br/>
        <w:t xml:space="preserve">Det är två paragrafer, som herr Christenson och hans medreservanter särskilt vilja ha bort och beträffande vilka han således anser, att det skulle vara mycket lätt att vara tveksam, om det därvid är fråga om en generell regel eller ej. Det är först 5:e paragrafen, där det gäller legat och sådana fall, då ett testamente omfattar egendom, som väl finnes, men som är besvärad av inteckning, panträtt eller annan rättighet, och som med bibehållande av dessa belastningar skulle tillhandahållas testamentstagaren. Ja, som huvudregel kan man väl otvivelaktigt fastställa, att i fall, då egendom blivit sakrättsligt belastad genom testators egna åtgöranden, det ej överensstämmer med testators vilja att testamentstagaren i anledning därav skall åtnjuta ersättning för värdeminskning, som eventuellt kan ifrågakomma. Vi torde alla med reservanterna vara ense därom, att denna sats absolut gäller, när det är fråga om fast egendom, som är besvärad. Den saken är så klar, att reservanterna till och med säga, att därutinnan behövas ej några tolkningsregler. Men även om det är lika klart, när det gäller lös egendom, som är belastad på ett perdurerande sätt, kvarstår dock tvekan i sådana fall, då det gäller lös egendom, som tillfälligtvis är besvärad. Herr Christenson nämnde det fallet, att en man, som har god ekonomisk ställning och som vill tillförsäkra sin </w:t>
      </w:r>
      <w:r>
        <w:rPr>
          <w:b/>
        </w:rPr>
        <w:t>hushållerska³</w:t>
      </w:r>
      <w:r>
        <w:rPr>
          <w:b w:val="0"/>
        </w:rPr>
        <w:t xml:space="preserve"> ett visst belopp, tillfälligtvis, när han behöver, tar något lån och lägger till </w:t>
      </w:r>
      <w:r>
        <w:rPr>
          <w:b/>
        </w:rPr>
        <w:t>henne²</w:t>
      </w:r>
      <w:r>
        <w:rPr>
          <w:b w:val="0"/>
        </w:rPr>
        <w:t xml:space="preserve"> testamenterade obligationer som säkerhet. Ja, men för ett sådant fall får man ju falla tillbaka på den första paragrafens tolkningsregel och fråga sig: Vad överensstämmer i detta fall med testators vilja? Det är väl klart i detta fall med avseende å denna </w:t>
      </w:r>
      <w:r>
        <w:rPr>
          <w:b/>
        </w:rPr>
        <w:t>hushållerska³</w:t>
      </w:r>
      <w:r>
        <w:rPr>
          <w:b w:val="0"/>
        </w:rPr>
        <w:t xml:space="preserve">, att mannen, när han skrev sitt testamente i den delen, i främsta rummet ville framföra sin erkänsla till sin </w:t>
      </w:r>
      <w:r>
        <w:rPr>
          <w:b/>
        </w:rPr>
        <w:t>hushållerska³</w:t>
      </w:r>
      <w:r>
        <w:rPr>
          <w:b w:val="0"/>
        </w:rPr>
        <w:t>, som skött honom och hans hushåll under lång tid. För sådana fall behöver man icke hysa någon tvekan, såvida icke något annat förekommer vid tolkningen av testamentet i avseende å testators vilja.</w:t>
        <w:br/>
        <w:br/>
        <w:t>Om man nu tror att det finnes anledning till viss tvekan med avseende å legat i lös egendom, anser man nu, att när det rör fast egendoms belastning, behövs ingen bestämmelse, ty då äro vi ju alla ense, är det dock att erinra, att det i lagberedningens motiv finnes ett påpekande av, att högsta domstolen för 100 år sedan vid en tolkningstvist angående ett legat i fast egendom, som var intecknad, icke resonerade, som vi göra nu, utan förklarade, att den fasta egendomen icke skulle bära ansvaret för belastningen. Det är således icke oväsentligt att få fastslaget, att testamentstagare, som fått fast egendom sig tillagd, får vidkännas betalningsansvaret för de i fastigheten befintliga inteckningarna. Skulle man icke upptaga denna bestämmelse, skulle det vara</w:t>
        <w:br/>
        <w:br/>
        <w:t>fara för en e contrarie-slutledning, och det är också detta, som man härvidlag vill komma ifrån.</w:t>
        <w:br/>
        <w:br/>
        <w:t xml:space="preserve">Detta rörde den femte paragrafen. Så ha vi vidare den åttonde paragrafen, också en testamentstolkningsparagraf, vars borttagande yrkas av herr Christenson och hans medreservanter. Han förklarade, att den bestämmelse, som däri finnes och lyder: »Har någon gjort testamente till sin trolovade eller </w:t>
      </w:r>
      <w:r>
        <w:rPr>
          <w:b/>
        </w:rPr>
        <w:t>maka³</w:t>
      </w:r>
      <w:r>
        <w:rPr>
          <w:b w:val="0"/>
        </w:rPr>
        <w:t xml:space="preserve"> och upplöses därefter trolovningen eller äktenskapet annorledes än genom testators död, vare förordnandet utan verkan», icke var av den generella beskaffenheten, att man kunde taga upp den som en regel, ty det kunde förekomma fall, då ett äktenskap visserligen upplöstes annorlunda än genom testators död, men vederbörande ändå ville vidhålla de testamentariska föreskrifterna till förmån för den andre maken. Jag vågar dock tro, att om något sådant fall skulle förekomma, är det också så uppenbart, att man kan tolka testamentet efter första paragrafens tolkningsregel. Man har också sagt att detta är något nytt, som har kommit in. Lagberedningen hade ej upptagit detta utan det hade tillkommit på lagrådets hemställan. Ja, det är riktigt, att lagberedningen icke haft denna sak före i detta sammanhang men väl i annat sammanhang, nämligen i samband med spörsmålet om den rättsliga betydelsen av bristen i förutsättningarna för ett testamentes verkställande. Där pekades på en bestämmelse i tyska lagen, vilken, såsom statsrådet visst också framhöll, grundades på antagandet att den utsedda testamentstagarens egenskap av make eller trolovad för testator framstått såsom något så väsentligt att testamentstagaren utan sådan egenskap ej skulle kommit i åtanke. När äkta makar efter skilsmässa upphöra att vara äkta makar, förfaller ett dem emellan och till förmån för varandra upprättat testamente. Lagberedningen upptog nu spörsmålet om bristande förutsättningar, därest skilsmässa förelåg eller talan om hemskillnad eller skilsmässa var anhängig, och sade att en regel av ifrågavarande innehåll ej syntes så behövlig, enär redan 2 kap. 8 $ 1 arvslagen lämnade en tolkning för bedömandet av detta spörsmål. Efter lagrådets erinran har nu departementschefen upptagit denna tolkningsregel i åttonde paragrafen, och lagutskottet har godtagit den. Det finnes i utländsk rätt mångfaldiga andra tolkningsregler, men här i vårt kapitel äro de så beskurna, att man tycker sig vara verkligt säker på att de äro lämpliga. I tysk rätt finnas många andra. Om det står i testamentet »till de fattiga», vilka fattiga avser man då? Jo, svarar tyska tolkningsregeln: Till de fattiga i hemortskommunen. Och många andra regler finnas i utländsk rätt. De regler, som för oss föreslås, äga emellertid en god allmängiltighet, och man har ju alltid att vid tvekan falla tillbaka på första paragrafen, där det står, att man skall taga reda på testators vilja.</w:t>
        <w:br/>
        <w:br/>
        <w:t>Herr Johanson i Huskvarna talade något om avfattningen av 5 kap. 3 8. Jag tror, att jag får läsa upp den här inför kammaren för att rekapitulera, vad det är frågan om. Det kapitlet avser testamentes ogiltighet. Det heter: »Har någon tvungit testator att upprätta testamente eller förmått honom därtill genom missbruk av hans oförstånd. viljesvaghet eller beroende ställning, vare testamentet ej gällande.» Herr Johanson i Huskvarna ansåg, att man skulle söka få in en ny lagbestämmelse, som icke skulle vara så svårförståelig. Det var icke lyckligt, ansåg han, att man nu skulle utvidga avtalslagens regler och få in »viljesvaghet» här. Jag vill då säga, att det här icke är fråga om avtalsregler. Vi få mycket starkt skilja emellan de här bestimmelserna i avseende på testamente och bestimmelserna i avtalslagen. Vid tillämpningen av avtalslagens bestämmelser är det någonting, som är mycket viktigt att ha som bakgrund, nämligen god tro hos motparten. Här är det icke fråga om detta. De bestämmelser, som passa där, äro sådana, som avse förutsättningar för ocker. Vad är det, som man tar hänsyn till där? Jo. trångmål, lättsinne</w:t>
        <w:br/>
        <w:br/>
        <w:t>och dylikt. Emellertid, vad som här i 5 kap. 3 $ är viktigt, och som jag särskilt ber att få påpeka är, att vi fått in en regel här, att tvång, som herr Johanson godkände, är nummer ett, när det gäller underkännande av en testamentshandling. I herr Johansons i Huskvarna m. fl. reservation har det sagts ifrån att bestämmelsen om viljesvaghet, som vi här skulle få in, är något egendomlig, då sådan icke finnes inom utländsk rätt, såvitt man tror sig veta. Ja, men där finnes i allmänhet intet annat än »tvång». Där förekomma icke heller dessa särskilda bestämmelser om oförstånd, beroende ställning eller, som reservanterna slutligen säga, otillbörlig påverkan. Vi skulle stå på samma ståndpunkt som den engelska rättstillämpningen, som har någonting, som kallas för undue influence och där allra minsta påverkan på vederbörande kan medföra att testamentet blir ogiltigt.</w:t>
        <w:br/>
        <w:br/>
        <w:t>Det här kan ju synas icke vara så förfärande viktigt, då slutklämmen i reservationen i alla händelser går ut på »otillbörlig påverkan», men när det gäller att skydda vederbörande, som kan bli utsatt för sådan otillbörlig påverkan, kan det ha sin stora betydelse, att man har uttryckligt sagt »viljesvaghet». Med denna term, »viljesvaghet», kryper man ej bakom en allmän fras. Man säger emellertid rent ut att viljesvaghet är ett av de moment, som karakteriserar, att vederbörande icke är av sådan beskaffenhet att vederbörande kan fritt och otvunget göra sitt testamente. Härvidlag, herr Johanson i Huskvarna, är det dock icke någon fara för att man skall gå rigoröst tillväga, ty naturligtvis kommer domstolen att pröva alla omständigheter, och det blir i stort sett samma prövning som vid »otillbörlig påverkan».</w:t>
        <w:br/>
        <w:br/>
        <w:t>Herr talman! När de olika frågorna förekomma var för sig, blir det kanske tillfälle att ytterligare säga något. Jag har nu endast helt kort velat framhålla mina synpunkter i avseende å de reservationer, som tills dato varit föremål för överläggning.</w:t>
        <w:br/>
        <w:br/>
        <w:t>Jag kommer sedermera, herr talman, att, utom. när det gäller den Christensonska motionen, yrka bifall till lagutskottets utlåtande.</w:t>
      </w:r>
    </w:p>
    <w:p>
      <w:pPr>
        <w:pStyle w:val="Heading2"/>
      </w:pPr>
      <w:r>
        <w:t>5. Anders Paulsen (Socialdemokraterna, man)</w:t>
      </w:r>
    </w:p>
    <w:p>
      <w:r>
        <w:rPr>
          <w:b w:val="0"/>
        </w:rPr>
        <w:t xml:space="preserve">Herr förste vice talman! Det har framhållits i motioner, att den å släktskapen grundade ekonomiska och sociala samhörigheten mellan arvlåtare och arvingar allt mer försvagats, och på den grund anse motionärerna, att det finns skäl för laglottens avskaffande. Jag undrar, vad motionärerna stödja denna sin uppfattning på? Ty jag har åtminstone för min del en alldeles motsatt uppfattning. Om man exempelvis ser på landsbygdens förhållanden, där barnen, även sedan de blivit vuxna, i mycket stor utsträckning arbeta hemma på gården tillsammans med föräldrarna och där förkovran av förmögenheten i allmänhet i minst lika hög grad är att räkna barnen till förtjänst som föräldrarna, kan man väl inte med skäl säga, att där den å släktskapen grundade ekonomiska och sociala samhörigheten mellan arvlåtare och arvingar försvagats. Under sådana förhållanden synes det mig orimligt att avskaffa laglotten, som enligt min mening måste betraktas som barnens rättmätiga andel i föräldrarnas egendom. Nog synes det mig vara i högsta grad orätt, om föräldrar i sådana fall skulle kunna borttestamentera även denna del av förmögenheten. I mitt minne leva mycket livligt kvar de berättelser, jag i min ungdom hört om föräldrar, som, på grund av att något av barnen ingick äktenskap mot föräldrarnas önskan, gjorde detta barn arvlöst. Ofta var det så, att endera parten var fattig, och då hotade den förmögnare partens föräldrar med att göra honom eller </w:t>
      </w:r>
      <w:r>
        <w:rPr>
          <w:b/>
        </w:rPr>
        <w:t>henne²</w:t>
      </w:r>
      <w:r>
        <w:rPr>
          <w:b w:val="0"/>
        </w:rPr>
        <w:t xml:space="preserve"> arvlös, om man ej följde deras vilja. Det bör inte vara svårt att förstå, att härmed följde mycket lidande och mycken bitter,</w:t>
        <w:br/>
        <w:br/>
        <w:t>livslång ovänskap syskon emellan. Det var för att göra slut på detta oefterrättlighetstillstånd, göra slut på detta missbruk av föräldramakten som den bestämmelsen i lagen kom, att barnens laglott icke kan borttestamenteras — att man visserligen kunde skriva in i ett testamente, att exempelvis hela förmögenheten skulle tillfalla den efterlevande maken eller att något av barnen uteslöts från arvsrätt, men om detta överklagades, så höll det ej inför gällande lag. Nu vill man åter ändra på den punkten, man vill, fastän under annan motivering, återinföra det gamla oefterrättlighetstillståndet. Detta kan jag för min del inte gilla, ty jag är övertygad om att samma orättvisor, som gjorde sig gällande före skapandet av laglotter, skulle komma att göra sig gällande, om vi nu avskaffade densamma.</w:t>
        <w:br/>
        <w:br/>
        <w:t>Som motiv för laglottens avskaffande har också anförts, att, som det nu är, så utgör denna bestämmelse om laglotten ett hinder för föräldrar att tillgodose barn, vilka på grund av sjukdom äro ur stånd att försörja sig. I detta kunna motionärerna givetvis i viss mån ha rätt. Men det finns ju redan den möjligheten att testamentera den ena hälften av den dödes kvarlåtenskap. Och skulle föräldrar anse, att detta inte räcker, och möjligheterna finnas, så är det ju intet som hindrar dem från att redan i livstiden placera pengar exempelvis i bank i det sjuka barnets namn, att så att säga ge detta barn dessa medel med varm hand. Om man handlar på detta sätt, så äro ju dessa medel ur boet före dödsfallet och komma ej att beröra dödsboet.</w:t>
        <w:br/>
        <w:br/>
        <w:t>Vad nu frågan om arvsavtal vidkommer, så förekommer ju detta huvudsakligen i sådana fall, där föräldrar gjort inbördes testamente till förmån för varandra samt föräldrarna och de myndiga barnen komma överens, att de senare redan medan bägge föräldrarna leva skriftligen erkänna, att de godkänna testamentet i fråga. Om det slags arvsavtal är ju intet annat än gott att säga; det bygger ju på personlig överenskommelse, som vittnar om gott samförstånd mellan föräldrar och barn. Jag kan därför inte finna den bestämmelse i 2 8 riktig som säger: Bröstarvinge äge dock utfå sin laglott, med mindre han avstått från denna mot skäligt vederlag. Jag kan inte fatta, vad denna bestämmelse skall tjäna till. Ett sådant godkännande av föräldrars inbördes testamente kan ju endast ske efter personlig överenskommelse mellan föräldrar och myndiga barn. Finns det något bland de myndiga barnen, som inte vill vara med härom, så godkänner han givetvis inte testamentet. Då får han ju i vanlig ordning överklaga testamentet, då dödsfall skett, och härigenom erhåller han ju sin laglott. Men denna bestämmelse, att arvtagaren skall ha sin laglott, även om han godkänt föräldrarnas inbördes testamente, såvida han ej erhållit skäligt vederlag för att avstå från densamma, den hindrar ju i framtiden föräldrar och barn från att träffa överenskommelse om barnens godkännande av föräldrarnas inbördes testamente. Jag vill för min del säga, att jag finner denna bestämmelse vara en försämring av lagen och att den bör utgå, varför jag i den punkten, herr förste vice talman, ber att få yrka bifall till herr Larsons i Lerdala m. fl. reservation.</w:t>
      </w:r>
    </w:p>
    <w:p>
      <w:pPr>
        <w:pStyle w:val="Heading2"/>
      </w:pPr>
      <w:r>
        <w:t>6. Birger Christenson (Lantmanna- och borgarepartiet inom andrakammaren, man)</w:t>
      </w:r>
    </w:p>
    <w:p>
      <w:r>
        <w:rPr>
          <w:b w:val="0"/>
        </w:rPr>
        <w:t>Herr förste vice talman! Den föregående ärade talaren gick in på en del av lagförslaget, varom senare kommer att beslutas. Jag skall be att få säga några ord angående den första delen. Jag är nämligen en av de få av utskottets ledamöter, som helt gått på den kungl. propositionen. Jag vill då först uttala ett par mera allmänna synpunkter.</w:t>
        <w:br/>
        <w:br/>
        <w:t>Från denna plats har jag för ett par år sedan uttalat önskvärdheten av att våra lagar skola skrivas så klart och tydligt som möjligt, så att svenska folket kan förstå dem. Jag hade inte vågat hoppas, att detta önskemål så snart skulle bli förverkligat. Här i detta lagförslag har man nämligen gått ifrån</w:t>
        <w:br/>
        <w:br/>
        <w:t>det gamla skrivsättet, det som förekommer i de gamla lagarna med deras för lekmannen så svårtydda texter. Utskottet har om detta sagt på sidan 2: »Att tidsenliga föreskrifter givas i en form, som gör lagens innehåll levande för menige man.» Det är med andra ord nu lättare för lekmannen att tyda paragraferna. Jag vill till den det vederbör uttala min och, jag är övertygad därom, mångas stora tillfredsställelse med detta åtgörande. Min förhoppning är nu, att man fortsätter på den inslagna vägen vid avfattandet av nya lagar.</w:t>
        <w:br/>
        <w:br/>
        <w:t>När den nya arvslagen år 1928 genomfördes, avklipptes, som alla veta, kusinernas arvsrätt. Denna åtgärd väckte på många håll en viss misstämning, och man fruktade, att då lagen om testamente skulle genomföras, inskränkningar skulle vidtagas. Det är därför med stor tillfredsställelse jag erfarit, att testamentsrätten är fri och obeskuren. Det är på den gamla grunden, på förut gällande bestämmelser, som man har lagt lagstiftningen.</w:t>
        <w:br/>
        <w:br/>
        <w:t>Det är nog så, som herr Björkman sade, att förekomsten här av ett flertal reservationer ger vid handen, att man var på sitt håll har sina små önskemål. Då jag emellertid varit med vid den kritiska granskning, för att inte säga den skärseld, som Kungl. Maj:ts förslag varit föremål för vid utskottsbehandlingen, har jag kommit till den bestämda uppfattningen, att jag beträffande hela lagens avfattning kan ställa mig på Kungl. Maj:ts förslag, ty det bygger på den säkraste grunden.</w:t>
        <w:br/>
        <w:br/>
        <w:t>De avgivna reservationerna äro i huvudsak gendrivna av flera föregående talare. I den första reservationen, av herr Christenson, uttalas önskemål beträffande samlingar av böcker och dylika saker. Det är möjligt, att med de bestämmelser som finnas draga försorg om detta, såsom redan påpekats. Det kan ske genom införande av stiftelser, och även i övrigt genom tillämpning av de i denna lag intagna paragraferna kan man komma ganska långt i detta avseende.</w:t>
        <w:br/>
        <w:br/>
        <w:t>Den andra reservationen gäller egentligen uppställningen av de föreliggande olika paragraferna. Jag har då kommit till den uppfattningen, att utskottets förslag därvidlag är betydligt mera att föredraga än det förslag reservationen innehåller. Reservationen utesluter en del paragrafer, men den gör i en del avseenden tillägg, som äro rätt svårtydbara. I denna reservation göres det i 3 8 ett tillägg av följande lydelse (sid. 35): »Vad nu är stadgat skall ej gälla, där annat får anses överensstämma med testators vilja.» Där har man återgått till den gamla lagskrivningen och sagt: Vad nu är stadgat skall ej gälla — och så hänvisas till något, jag kan säga, oförståeligt eller mycket svårtydbart.</w:t>
        <w:br/>
        <w:br/>
        <w:t>Om jag sedan går över till den reservation, som är avgiven med anledning av ordet »viljesvaghet», jag förstår mycket väl att det finns viljesvaga människor, och att sådan viljesvaghet möjligen kan ge anledning till processer. Jag har dock sådant förtroende till våra domstolar, att de komma att riktigt bedöma en sådan sak, om den drages inför domstol. Jag kan gentemot den ärade talaren på jönköpingsbänken säga, att jag tror det vara en fördel, att ordet »viljesvaghet» förekommer i lagen. Ty de människor, som äro inriktade på att påverka en annan människa, äro nog förslagna naturer. Finna de, att det står i lagen att ett testamente icke är gällande, som testator på grund av viljesvaghet föranletts att upprätta, så komma nog sådana personer att draga sig för att påverka viljesvaga människor. Jag anser därför, att det är en fördel, att ordet finns i lagtexten.</w:t>
        <w:br/>
        <w:br/>
        <w:t>Detta var i huvudsak vad jag hade att säga om förslaget under A). Jag torde möjligen få tillfälle återkomma till förslaget under B) och därtill fogade reservationen.</w:t>
        <w:br/>
        <w:br/>
        <w:t>Jag ber således, herr talman, att få yrka bifall till utskottets förslag i den föredragna punkten.</w:t>
        <w:br/>
        <w:br/>
        <w:t>Herr talman! Herr Lindqvist i Halmstad erinrade om</w:t>
        <w:br/>
        <w:br/>
        <w:t>den motion, jag i fjol hade väckt rörande fideikommiss i lös egendom. Jag fattade honom så, att han ansåg, att det skulle föreligga en viss motsättning mellan min ställning då och min ställning nu. Det är dock inte alls förhållandet. I den i fjol väckta motionen påpekades, att det icke i lagen fanns tillräckligt skydd för att lös egendom, som upplåtits såsom fideikommiss, verkligen blev bevarad åt vederbörande efterträdare. Det kunde hända, att innehavaren försålde egendomen eller på annat sätt avyttrade eller vanvårdade den till förfång för efterträdaren i äganderätten. Det var mot detta missförhållande jag påkallade bestämmelser i skyddande syfte.</w:t>
        <w:br/>
        <w:br/>
        <w:t>Nu har jag haft den stora tillfredsställelsen konstatera, att i det föreliggande lagförslaget, 4 kap. 9 och 10 $$, just tagits med bestämmelser, vilka fastslå, att, för den händelse innehavare av sådan egendom skulle vanvårda den eller eljest äventyra dess bestånd, den blivande innehavaren eller hans rättsinnehavare kan inskrida och t. o. m. få egendomen ställd under särskild förvaltning. Det var just detta jag i fjol i min motion hemställde om. Jag kan icke inse, att mitt påpekande förra året, att det var otillräckligt skydd för sådana stiftelser. som det här är fråga om, kan på något sätt stå i motsättning till att jag nu önskar bibehålla möjligheten att inrätta dylika stiftelser, vilka i berörda avseende komma att få samma skydd som redan bestående fideikommiss.</w:t>
        <w:br/>
        <w:br/>
        <w:t xml:space="preserve">Till utskottets ärade vice ordförande vill jag säga, att jag icke kan dela hans uppfattning om att i det fall jag som ett exempel anförde — obligationerna, som voro testamenterade till en </w:t>
      </w:r>
      <w:r>
        <w:rPr>
          <w:b/>
        </w:rPr>
        <w:t>hushållerska³</w:t>
      </w:r>
      <w:r>
        <w:rPr>
          <w:b w:val="0"/>
        </w:rPr>
        <w:t xml:space="preserve"> -— testamentstagaren verkligen skulle ha fått obligationerna utan avdrag för skulden.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1853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