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1926</w:t>
      </w:r>
    </w:p>
    <w:p>
      <w:r>
        <w:rPr>
          <w:b/>
        </w:rPr>
        <w:t xml:space="preserve">Datum: </w:t>
      </w:r>
      <w:r>
        <w:t>1932-03-03</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Sven Bengtsson (Folkpartiet, man)</w:t>
      </w:r>
    </w:p>
    <w:p>
      <w:r>
        <w:rPr>
          <w:b w:val="0"/>
        </w:rPr>
        <w:t>Herr talman! Jag vill med anledning av herr Lindmans förmaning till regeringen om sparsambet ställa en fråga till herr Lindman. Vad gjorde herr Lindman under sin regeringstid för att förelägga ämbetsverk och riksdag att spara? Därtill vill jag säga, då han förmenar, att regeringen och särskilt statsministern icke hållit efter sina egna i</w:t>
        <w:br/>
        <w:br/>
        <w:t>utskottet, vilka här gå emot regeringen, att jag är glad över att tillhöra ett parti, som ger utskottsmedlemmarna frihet att bedöma frågorna efter eget förstånd, och ännu har det aldrig hänt under min tjugutreåriga riksdagstid, att jag fått någon tillsägelse att rösta i en viss riktning eller förebråelse för att jag röstat emot ledningen i partiet. Men herr Lindman torde i det fallet hava erfarenhet, då han uppträder med sådan kraft att hålla efter de sina, vilka, om de icke vilja lyda, få gå ifrån sina förtroendeuppdrag. Sådant har som vi veta hänt, men dylikt tillämpas icke i vårt parti.</w:t>
        <w:br/>
        <w:br/>
        <w:t>När herr Lindman säger, att regeringen icke kunnat få mer än en enda av sitt partis fyra medlemmar i statsutskottet att rösta för regeringen, så glömmer herr Lindman, att han icke fått mer än en av sina åtta medlemmar i sitt stora parti, och denne är stockholmare, som saknar kännedom om landsbygdens förhållanden. Herr Lindman har icke ens fått vice ordföranden i sitt eget parti med sig. Det är därför bäst, att herr Lindman sopar rent för egen dörr, innan han kräver så stränga åtgärder av andra partier. Nej, den dag jag icke frivilligt får i utskottet taga ställning till frågorna och pröva dem efter eget förstånd, utan efter order, den dagen lämnar jag partiet.</w:t>
        <w:br/>
        <w:br/>
        <w:t xml:space="preserve">För övrigt vill jag fråga: vad beror det på, att det råder olika meningar på denna punkt? Jo, det är enligt min mening riksdagen som bär skulden härtill. Det är riksdagen som beslutat, att kommuner och landsting skola ordna sina fattigvårdsangelägenheter, sina ålderdomshem, sin vård om sinnesslöa och sinnessjuka och vården om epidemiskt sjuka genom uppförandet av epidemisjukhus. Det är riksdagen, som beslutat detta och ålagt landsting och kommuner att rätta sig därefter. Så ha vi gjort i det landsting, jag tillhör. Skola vi nu straffas därför att vi följt riksdagens beslut, och skall riksdgen nedsätta dessa bidrag? Det är icke meningen, säga både socialministern och finansministern. Men i verkligheten blir det ett övervältande på landstingen av kostnaderna, då statsbidraget nedsättes. Det måste så vara, därför att det är ej bara fråga om livsförnödenheter, som visserligen förbilligats, utan det gäller även lönerna till </w:t>
      </w:r>
      <w:r>
        <w:rPr>
          <w:b/>
        </w:rPr>
        <w:t>sköterskorna³</w:t>
      </w:r>
      <w:r>
        <w:rPr>
          <w:b w:val="0"/>
        </w:rPr>
        <w:t xml:space="preserve"> för vården av de obildbara sinnesslöa m. fl. </w:t>
      </w:r>
      <w:r>
        <w:rPr>
          <w:b/>
        </w:rPr>
        <w:t>Sköterskorna³</w:t>
      </w:r>
      <w:r>
        <w:rPr>
          <w:b w:val="0"/>
        </w:rPr>
        <w:t xml:space="preserve"> och betjäningen för övrigt hava icke satt ned sina anspråk på lönerna, de vilja hava sina löner oavkortade i likhet med dem som äro anställda i statstjänst. Då frågar jag: skola landstingen ensamma taga dessa ökade kostnader? För landstingen komma skattekronorna att väsentligt nedgå, vilket de göra över hela landet. TI ett sådant fall får icke den starkare parten, staten, flytta över kostnadsbördan på den svagare, landstinget. Landstingsskatten kommer säkerligen att höjas i samtliga län även utan denna minskning av statsbidragen. Är man kommunalman, landstingsoch riksdagsman samtidigt, får ingen förvåna sig över, att man vill fördela bärkraften efter rättvisa på detta område.</w:t>
        <w:br/>
        <w:br/>
        <w:t>Det har sagts, och däri instämmer jag med herr Lindman, att det gäller att tillhålla ämbetsverken och ämbetsmännen att sätta ned sina krav och fordringar, när de resa ut över landet och inspektera. Däri kan jag instämma, men varför har inte herr Lindman utfärdat något sådant påbud, då han satt som chef i regeringen? För övrigt är jag övertygad om, att landstingen eller rättare direktionerna för anstalterna skola i sina budgetsförslag till landstingen komma att pressa ned utgiftsposterna allt vad de kunna, så att landstingsskatten kommer att hållas nere så mycket som det är möjligt. Men vi kunna icke draga in på den verksamhet, för vilken vi hava tagit upp lån till att bygga. Dessa måste amorteras och förräntas, och vi kunna väl icke åter överflytta på kommunerna uppgifterna att skydda de ålderstigna fattiga, som vistas på hem för kroniskt sjuka. Vi kunna väl heller icke skicka hem de sinnesslöa och sinnessjuka från dessa anstalter, när man en gång fått ordning i anstaltsvården och de sinnesslöa och lindrigt sinnessjuka skilts från de</w:t>
        <w:br/>
        <w:br/>
        <w:t>normala fattiga i ålderdomshemmen. Primärkommuner och landsting måste</w:t>
        <w:br/>
        <w:br/>
        <w:t>hjälpas åt, men på områden, där riksdagen ålagt dessa att ordna vissa för-</w:t>
        <w:br/>
        <w:br/>
        <w:t>hållanden och då till landstingen för dessa uppgifter bidrag utlovats av staten,</w:t>
        <w:br/>
        <w:br/>
        <w:t>där är det icke lämpligt att då svåra tider inträda nedsätta dessa bidrag. Jag ber, herr talman, att yrka bifall till statsutskottets hemställan.</w:t>
      </w:r>
    </w:p>
    <w:p>
      <w:pPr>
        <w:pStyle w:val="Heading2"/>
      </w:pPr>
      <w:r>
        <w:t>2. Robert Jansson (Socialdemokraterna, man)</w:t>
      </w:r>
    </w:p>
    <w:p>
      <w:r>
        <w:rPr>
          <w:b w:val="0"/>
        </w:rPr>
        <w:t>Herr talman! Herr Lindman klandrade utskottsmajoriteten för att den icke ville underordna sig regeringens krav på sparsamhet. Detta förstår jag icke riktigt och icke heller varför herr Lindman anmärkte, att utskottet icke framlagt något förslag till skrivelse till regeringen. Vi hava sagt här, att vi förvänta, att i den utredning, som pågår dels 1 fråga om sjukvård och dels i fråga om skatteutjämning, man skall taga upp dessa saker och framkomma med förslag, och jag menar, att det bör vara nog för herr Lindman i detta avseende. Vad sedan angår sparsamheten blev jag rent av häpen över vad jag fick höra, att vi på speciellt tredje avdelningen skulle vara sådana slösare. Vi hava på tredje avdelningen två kamrater, som tillhöra herr Lindmans parti, om vilka jag alltid trott och erfarit av deras framträdande, att de varit mycket sparsamma. Men det oaktat hava även de för sin del gått med på detta förslag. Det har icke rått den ringaste oenighet om det. Här är icke fråga om att spara, vad herrarna än vilja säga om den saken, här är icke fråga om att spara, åtminstone icke i stort sett, utan här är fråga om vilken debetsedel man skall taga ut beloppet på. Det är så vi sett saken, och vi anse, att det skall tagas ut på den debetsedel, där bördan lägges mest rättvist på landets inbyggare. ”</w:t>
        <w:br/>
        <w:br/>
        <w:t>Jag vidhåller, herr talman, mitt yrkande.</w:t>
      </w:r>
    </w:p>
    <w:p>
      <w:pPr>
        <w:pStyle w:val="Heading2"/>
      </w:pPr>
      <w:r>
        <w:t>3. Theodor Gardell (–, man)</w:t>
      </w:r>
    </w:p>
    <w:p>
      <w:r>
        <w:rPr>
          <w:b w:val="0"/>
        </w:rPr>
        <w:t>Herr talman! Herr statsrådet talade om att landstingen skulle spara m. m. Ja, även om vi skulle vilja, kan man knappast komma i tillfälle att få spara. Det är ett lasarett på Gotland, som är för litet, och vi hava därför beslutat att uppgöra förslag om tillbyggnad för att få flera platser. Vid senaste sammanträdet beslöt landstinget att anställa en ny läkare som skall förestå tuberkulossjukhuset, hemmet för kroniskt sjuka och den medicinska avdelningen på lasarettet.</w:t>
        <w:br/>
        <w:br/>
        <w:t>För att omedelbart avhjälpa platsbristen på lasarettet ville flertalet av landstingets ledamöter att sjuksalar skulle inredas på vindsvåningen, som är oinredd, för medicinskt sjuka då de ändå skola behandlas av samma läkare som förestår hemmet för kroniskt sjuka. Men gällande förordningar lägga hinder i vägen för ett sådant utnyttjande av allmänna byggnader, för erhållande av statsbidraget. Det hade varit mycket intressant, om medan nybygget och utredningen pågå vi fått lov att lägga in medicinskt sjuka och ändå hade fått statsbidrag, ty när landstinget driver detta sjukhus, och man icke inkräktar på någon annans rätt, då bör man ju tycka, att man skulle haft rätt därtill.</w:t>
        <w:br/>
        <w:br/>
        <w:t xml:space="preserve">Vidare har landstinget beslutat att ordna sjuksköterskevården på landsbygden. Den striden har pågått i många år. Landstingets ledamöter hava ansett, att vi skulle hava fem </w:t>
      </w:r>
      <w:r>
        <w:rPr>
          <w:b/>
        </w:rPr>
        <w:t>sjuksköterskor³</w:t>
      </w:r>
      <w:r>
        <w:rPr>
          <w:b w:val="0"/>
        </w:rPr>
        <w:t xml:space="preserve"> till att börja med, men medicinalstyrelsen har sagt, att vi fingo icke hava mindre än tolv. Det senaste landstinget beslöt att inrätta sjuksköterskedistrikt, men så var det ett samhälle, Slite samhälle, som hade bildat eget sjuksköterskedistrikt. Då säga stadgarna, att för statsbidrags utgående beträffande sjuksköterskevården skall landstinget driva hela sjukvården, annars fås intet statsbidrag. Därför att Slite bildat eget distrikt, måste först provinsialläkaren överklaga landstingets beslut. Landstingets beslut har därför upphävts av länsstyrelsen, så att nu är sjukvården oordnad för tillfället. Det hade varit mycket intressant, menar jag, om regeringen kunnat inverka, så att man hade fått större frihet under kommande tid, om man går in och begär dispens att tillgodogöra sig de allmänna byggnaderna,</w:t>
        <w:br/>
        <w:br/>
        <w:t>så att dessa icke uteslutande skola användas för de ändamål, för vilka de byggts. Ett hem för kroniskt sjuka 1 övre våningen skulle säkert lämpa sig till ett sjukhus för medicinskt sjuka, men det förbjuda stadgarna.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1926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