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1927</w:t>
      </w:r>
    </w:p>
    <w:p>
      <w:r>
        <w:rPr>
          <w:b/>
        </w:rPr>
        <w:t xml:space="preserve">Datum: </w:t>
      </w:r>
      <w:r>
        <w:t>1932-03-08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Den omständigheten att jag fick ordet omedelbart efter den siste ärade talaren skulle efter den formulering han gav sina slutord kunna tyda på någon uppgörelse oss emellan efter formeln: »frågor och svar.» Emellertid, herr talman, är den framställda frågan av den beskaffenhet, att jag i varje fall icke för närvarande vill ge mig in på att besvara den, därför att jag helt naturligt, när jag nu först hörde den, icke hunnit undersöka, huruvida och i vad mån den av herr Vennerström och mig framburna reservationen vid sådant förhållande skulle i övrigt påkalla vissa modifikationer.</w:t>
        <w:br/>
        <w:br/>
        <w:t>Redan vid remissdebatten utvecklade den ärade motionären sina synpunkter i denna fråga. Det sades med all rätt den gången från regeringsbänken, att vad han framlagt förtjänade det allra största beaktande. Det är otvivelaktigt, att motionären har snuddat vid och även i vissa stycken gått långt in i ett betydelsefullt problem, ett problem som i dessa dagar blivit dubbelt betydelsefullt.</w:t>
        <w:br/>
        <w:br/>
        <w:t>Motionen kretsar kring tre önskemål, tre synpunkter: 1:0) att ge en konkret gestalt åt den lagstiftning, som för Sveriges vidkommande skulle behövas, i händelse av att de i 16. artikeln i förbundspakten inrymda ekonomiska sanktionsbestämmelserna skulle tillämpas; 2:0) att åvägabringa någon slags samverkan mellan å ena sidan regeringen och å andra sidan befolkningen, när det gäller att ge eftertryck åt och hävda såväl administrativa förordningar som i vanlig ordning av Kungl. Maj:t och riksdagen stiftade lagar, och 3:0) att genom den internationella arbetsbyrån få till stånd en samverkan — eller rättare sagt en förhandling, som motionären närmast pekat på — mellan å ena sidan Nationernas förbund och å andra sidan den fackliga och socialistiska internationalen.</w:t>
        <w:br/>
        <w:br/>
        <w:t>Jag skall, herr talman, först be att med några ord få antyda den uppfattning i dessa frågor, som varit och är den internationella arbetarrörelsens. Gå vi igenom andra internationalens, den socialistiska internationalens protokoll ända från 1860-talet och tills nu, så finna vi, hurusom ingen enda av dess kongresser varit församlad utan att ingående överläggningar och meningsbrytningar förekommit beträffande spörsmålet, hur arbetarvärlden skall kunna göra sin insats till förhindrande av krig. Under tiden före världskriget hade resolutionerna i regel en rent negativ utformning, i det att det anbefalldes, att man mot kriget skulle tillgripa exempelvis generalstrejk eller dylika medel. Efter världskriget och efter tillkomsten av Nationernas förbund har man märkt ett annat och ett positivare inslag i dessa resolutioner.</w:t>
        <w:br/>
        <w:br/>
        <w:t>Jag erinrar emellertid om, hurusom den fackliga internationalen så sent som våren 1922 vid sin kongress i Rom fattade resolution, som sedan varit bestämmande för de landsorganisationer, som äro anslutna till denna international, en resolution, som förordade generalstrejkens tillgripande i händelse av krigsutbrott. Det säger sig självt, att en dylik anvisning utan vidare är en rent negativ anvisning. Man har nämligen rätt att fråga: Mot vem? Mot den fredsbrytande regeringen i det egna landet eller mot regeringarna i exempelvis över-</w:t>
        <w:br/>
        <w:br/>
        <w:t>Ang. fallna och angripna stater? Minsta eftertanke säger, att problemet i och med ett samarbete detsamma kompliceras. redan dem Vid den kongress, som ägde rum mellan de båda internationalerna i Haag arbetarrörelsen Senhösten 1922, tillät jag mig emellertid att i den kommission, där jag var verkoch Natiosam, framhäva nödvändigheten av en sådan omändring i Romresolutionen, att BEE förden sammanknötes med det ekonomiska sanktionssystemet i Nationernas för- LA bund. Min förnämsta motståndare i bataljen var Karl Radek, som på den tiden varande. figurerade som tredje internationalens emissarie. Resultatet blev emellertid (Forts.) även den gången, att man stannade vid den negativa formuleringen.</w:t>
        <w:br/>
        <w:br/>
        <w:t>Är 1925 tog emellertid andra internationalen på sin kongress i Marseille upp problemet mera på allvar, och det var närmast fransmannen Pierre Renaudel, som utformade det uttalande, som internationalen den gången gjorde till sitt. Det var kanske ingen tillfällighet, att uttalandet fick den formulering, som det fick, därför att mannen, som höll pennan, var en lärjunge till Jaurés, den mördade ledaren för den franska socialdemokratien. Redan år 1907 hade nämligen Jaurés i ett offentligt tal i Paris utvecklat sina synpunkter på detta problem. Han hade gått in på spörsmålet, vem som är angripare, och han hade svarat: Ni behöva icke gå till arkivens dammiga gömmor, ni behöva icke anställa några längre efterforskningar, utan ni behöva bara ställa följande fråga: Vem vägrar och vem vägrar icke att hänskjuta sin sak till rättsligt avgörande? Vem vägrar och vem vägrar icke att, sedan det rättsliga avgörandet fallit, foga sig därefter? Och han betonade, att den, som vägrar underkasta sig skiljedom eller, sedan skiljedomen fallit, griper till svärd, den gör sig själv icke blott till angripare mot andra stater utan även till fiende mot den egna nationen och dess medborgare. Därav drog han den praktiska slutsatsen, att om en angripande regering, en fredsbrytande regering är både mänsklighetens fiende och en fiende till sina egna medborgare, så skall den av dessa senare såsom sådan behandlas. Han förordade därför tillgripande av storstrejk, av sabotage, av uppror, av revolutionär resning, allt vad ni vill, för att slå ned en dylik regering. I Marseilleresolutionen av år 1925 knäsattes denna tankegång, och det sades klart ut, att en fredsbrytande regering gör sig till fiende jämväl mot den egna nationen.</w:t>
        <w:br/>
        <w:br/>
        <w:t>Inom parentes vill jag fästa min ärade väns, motionärens uppmärksamhet därpå, att han i sin motion uttryckligen undantager den fredsbrytande regeringens egen befolkning från den princip, som såväl Jaurés i sitt tal år 1907 som internationalen i sin resolution av 1925 ansett vara självklar, i det att den ärade motionären håller före, att plikten till handling åvilar i första rummet övriga staters arbetarklass. Där bryter sig motionärens uppfattning emot den uppfattning, som varit och är internationalens, en uppfattning, som enligt min mening är den enda möjliga. Det är nämligen orimligt, herr talman, att ställa arbetarklassen i den fredsbrytande regeringens eget land utanför plikten att handla emot en dylik regering. Skall en handling därvidlag ha verklig effekt, så måste den komma just från massorna i denna regerings eget land.</w:t>
        <w:br/>
        <w:br/>
        <w:t>Är 1928 fullföljdes tankegången från Marseilleresolutionen i Brysselresolutionen. Med något varierande formulering hävdas precis samma grundsats. Och den fullföljdes sedan i Wien år 1931. Såvitt jag förstår, kan det i detta ögonblick betraktas som den internationella socialdemokratiska arbetarrörelsens gemensamma uppfattning, att mot en fredsbrytande regering har arbetarklassen</w:t>
        <w:br/>
        <w:br/>
        <w:t>1 dess eget land en plikt att slå ned med alla till buds stående medel och förvägra den sin solidaritet.</w:t>
        <w:br/>
        <w:br/>
        <w:t>Jag var i tillfälle i fjol, herr talman, att i denna kammare erinra därom, att vår tankegång vunnit anslutning även på annat håll. Jag hade suttit i Blasieholmskyrkan och åhört kraftmätningen mellan Nathan Söderblom och hans motståndare bland de övriga biskoparna, när Söderblom stred för grundsatsen att en fredsbrytande regering skall ställas utanför lagen och förvägras solidaritet</w:t>
        <w:br/>
        <w:br/>
        <w:t>från det egna landets invånare och av dessa slås ned. Han hävdade, att jämväl kyrkosamfunden här ha samma plikt som arbetarrörelsen. Det är därför, herr talman, som jag med synnerligen stor förvåning konstaterat, att de biskopar, som bekämpade Söderbloms uppfattning men lyckligtvis ledo nederlag, nu ha fått lärjungar i konstitutionsutskottet. I det betänkande, som här föreligger, har nämligen statens suveränitet så fastslagits, så järnhårt utmejslats, att det är orimligt, åtminstone för mig, att ett ögonblick kunna vara med om en sådan ståndpunkt. I själva verket har min vän motionären genom den passus i sin motion, där han undantager den fredsbrytande regeringens egen befolkning från plikten att resa sig emot densamma, lagt liksom till rätta för den formulering, som triumferat 1 konstitutionsutskottets majoritets betänkande.</w:t>
        <w:br/>
        <w:br/>
        <w:t>Emellertid, herr talman, vill jag fästa uppmärksamheten därå, att denna tankegång att göra arbetarrörelsens insats till ett led i sanktionssystemet ventilerats även på annan ort, och under kritik från en stor del av den svenska pressen, som brukar ha vad fransmännen kalla för trappkvickhet, d. v. s. den kvickhet, som kommer för sent. I samförstånd med den dåvarande utrikesministern, min vän Östen Undén, framförde jag i tredje kommissionen i Geneve år 1925 den uppfattningen, att det vore på tiden, att den internationella fackföreningsrörelsen positivt medverkade i det ekonomiska sanktionssystemet genom att göra storstrejkstanken till ett led i de ekonomiska påtryckningarna. Detta utlades sedan med berömvärd spiritualitet i stora delar av svenska högerpressen såsom att jag hade förordat storstrejk emot krig, medan jag uttryckligen varnade för denna negativa uppfattning och framhöll, att storstrejken, i den mån den kunde vara ett vapen emot kriget, måste vara ett led i det ekonomiska sanktionssystemet. Detta sagt inom parentes, herr talman, för att avliva en anka, som flaxat i svensk högerpress så länge, att den nu torde kunna läggas på stupstocken i andra kammaren.</w:t>
        <w:br/>
        <w:br/>
        <w:t>Men jag fortsätter. Den tankegång, varåt vi den gången gåvo uttryck, torde bli den enda möjliga och enda rimliga, om man överhuvud taget skall fortsätta längre på de ekonomiska sanktionernas väg. Jag skall emellertid be att få säga ett par ord om det ekonomiska sanktionssystemet. Det är märkligt, och det har i dagarna uppvisats av Östen Undén i en liten skrift, hurusom från början tanken på militära sanktioner knappast föresvävade den man, som i Amerika gjorde utkastet till förbundsakten, nämligen överste House. Undén påvisar, att det var först i Wilsons omarbetning av detta utkast, som tanken att knyta militära sanktioner till de ekonomiska framkom. När 1918 här hemma i Sverige på offentligt uppdrag en kommitté verkställde en utredning i fråga om sanktionssystemet, en kommitté, som i sig inneslöt den framstående juristen Marks von Wirtemberg, kom den till det resultatet, att den överhuvud taget icke ville för det dåvarande anbefalla några som helst sanktioner, vare sig ekonomiska eller andra, enär den fruktade de konsekvenser, som ett sanktionsmaskineris igångsättande skulle kunna få. Den instruktion, som 1919 gavs åt de delegerade, som hade att föra Sveriges talan vid fredskonferensen i Paris, upptog emellertid sanktionstanken och antydde, att den nog vore något konstitutivt och nödvändigt i det system, som förbundsakten representerade. Emellertid har sedan frågan om de ekonomiska sanktionerna liksom frågan om de militära sanktionerna kommit under ny debatt i ljuset av brasan i yttersta östern. Man har ju litet till mans ställt sig frågan, huruvida det sanktionssystem, som Nationernas förbund för närvarande har och som väsentligen återfinnes i förbundsaktens sextonde kapitel, är sådant, att det utan vidare kan tillgripas. Alla torde i detta ögonblick vara på det klara med, att om sanktionsmaskineriet igångsältes mot en militär stormakt, betyder det i själva verket ett nytt viärldskrig. Sanktionsmaskineriets igångsättande mot en stormakt av Japans storleksklass har därför tett sig som något äventyrligt, tett sig som — för att</w:t>
        <w:br/>
        <w:br/>
        <w:t>använda en bild — en helvetesmaskin, på vars knapp man endast med ångest och bävan sätter fingret, enär man vet, att det kan medföra en ny världsbrand, en ny världskatastrof. Jag tror därför, att så länge vi ha rustade stater, så länge är det en utopi att tänka sig, att man gentemot en militär stormakt tillgriper de militära sanktionerna. Det betyder att med öppna ögon gå in 1 ett världskrig. Är det en liten stackare, herr talman, som man icke anser sig behöva vara rädd för, då kan jag tänka, att man tillgriper även ett militärt sanktionssystem. Man räknar då med en lokal begränsning av konflikten. Det ekonomiska sanktionssystemet är ett sådant, som icke direkt behöver leda till militira åtgärder, det är sant, men å andra sidan har man sett, hur vanskligt det även i det stycket ter sig. Tillgripandet av ekonomiska sanktioner mot en stormakt är ett perspektiv, som kommer munnen att slutas på dem, som sitta i förbundsrådet.</w:t>
        <w:br/>
        <w:br/>
        <w:t>Jag måste för min del, herr talman, inom parentes säga, att man kanske icke får vara så hård i omdömet, som man ofta är, mot de makter, som sitta i förbundsrådet. I grund och botten finnar jag det både begripligt och naturligt, att de vägra att trycka på knappen. De måste fråga sig: säger man a, måste man icke då även säga b? Börjar man med att utpeka en makt som angripare, så är det nästa steget att sätta sanktionsmaskineriet i gång. Var stannar man då i själva verket? Inför det perspektivet har munnen slutits på förbundsrådets makter. Det är förklarligt, herr talman, att så är fallet. Det ligger i hela systemet, 1 dess natur.</w:t>
        <w:br/>
        <w:br/>
        <w:t>Emellertid, den fråga, som de ärade motionärerna hava uppkastat, där de tänka sig samverkan mellan arbetarinternationalerna och Nationernas förbund via internationella arbetsbyrån, den hör enligt min tanke så intimt samman med den förutsättning, som först måste vara fylld, att jag nödgas med några ord beröra densamma. Det är nog att begära för mycket att i ett system av topprustade stater eller någorlunda rustade stater påkalla arbetarinternationalernas medverkan till sanktionsväsendets förstärkning. Risken föreligger, att sanktionssystemet självt kan spränga hela folkförbundet i luften. Det är därför nog riktigt och klokt, att man avvaktar dessa arbetarinternationalers eget ställningstagande, deras eget initiativ. Det är nämligen rimligt enligt min tanke, att initiativet i första rummet utgår från den fackliga internationalen, som ju skulle ha att svara för de ekonomiska åtgärder, som här kunna ifrågakomma, och i andra hand från den politiska internationalen. Min vän Fabian Månsson sade med något av bitterhet i tonen, att man kan väl även som enskild man få framföra en sådan synpunkt utan att avvakta initiativ från dessa organisationer. Naturligtvis, herr talman, men jag tror, att min vän Fabian Månsson ger mig rätt, om jag säger, att nog är det den fruktbaraste vägen, att dessa arbetarorganisationer själva dels klara ut sina egna ståndpunkter, dels giva en viss form åt de initiativ, som till äventyrs från deras sida kunna tagas. Det är därför, som jag i den korta reservation, som jag avgivit tillsammans med herr Vennerström, givit uttryck åt den uppfattningen, att man lämpligen bör avvakta initiativ från dessa arbetarorganisationer själva i dylika frågor.</w:t>
        <w:br/>
        <w:br/>
        <w:t>Vad beträffar samverkan från befolkningens sida med regeringen för att skapa eftertryck åt administrativa förfoganden eller av Kungl. Maj:t och riksdagen gemensamt stiftad lag, nödgas jag säga, att ju mer jag tänkt på saken, dess konturlösare har önskemålet tett sig för mig. Hur skall man i praktiken kunna genomföra denna samverkan? Jag kan livligt föreställa mig, att transportarbetarförbundet kan åstadkomma åtskilligt genom att ingripa 1 importoch exportförhållandena, genom att behjärtat inskrida, så snart det märker något, som strider mot administrativa förfoganden eller av Kungl. Maj:t och riksdagen stiftad lag. Men om jag nu sträcker mig utanför transportarbetarförbundets hank och stör, så börjar det bli allt oklarare och oklarare, huru, så</w:t>
        <w:br/>
        <w:br/>
        <w:t>länge det är fråga om sanktionsåtgärder och icke kontroll, det skall kunna ordnas, och jag nödgas därför vidhålla, att på den punkten är motionärernas framställning synnerligen oklar. Den ger icke, som vi sagt i vår reservation, några hållpunkter för omdömet om hur det skall praktiskt utgestaltas.</w:t>
        <w:br/>
        <w:br/>
        <w:t>Vad vidare beträffar denna samverkan med internationella arbetsbyrån som förmedlare, så är det också klart, att internationella arbetsbyrån icke intar den ställning, som föresvävat motionärerna. Den är ju tillkommen, som vi veta, i kraft av Versaillestraktatens trettonde kapitel. Den är en byrå, avsedd för samverkan mellan arbetsgivarna, regeringarna och arbetarna i fråga om den internationella sociala lagstiftningen, men som politisk förhandlingspunkt, som en politisk mellanhand, för att använda en term från kommersen, lämpar den sig knappast.</w:t>
        <w:br/>
        <w:br/>
        <w:t>Vad då slutligen spörsmålet om den svenska lagstiftningen och konkretiserandet av det vi här hemma skulle göra för att omsätta de ekonomiska sanktionerna i svenska administrativa eller lagstiftningsförfoganden, vill jag tilllägga, att den svenska regeringens svar på sin tid till Nationernas förbund, att man vill vänta och se, var enligt min mening ganska befogat. Det finns ingen anledning, allra minst nu, att gå vidare på den vägen. Nu stå vi, herr talman, i ett läge, där frågan om Nationernas förbunds vara eller icke vara är lagd 1 vågskålen. Det vore enligt min tanke orimligt att stärka hela sanktionssystemet och utsätta Nationernas förbund för en större påfrestning, än det redan är utsatt för. Det vore enligt min tanke att spela hasard med Nationernas förbund, om man skulle stärka det sanktionssystem, som redan övergår förbundets förmåga. För egen del är jag pessimist beträffande Nationernas förbunds framtid. Jag tror, att i sin nuvarande gestalt måste det gå under. Jag tror icke, det finns möjlighet att, så länge stormaktspolitiken behärskar förbundet, komma någonstädes.</w:t>
        <w:br/>
        <w:br/>
        <w:t>Då inställer sig den frågan, vilken motionären rörde vid i sitt anförande: Hur erövra Nationernas förbund och göra det till ett verktyg för folken? Jag skulle tro, herr talman, att här springer man icke den ekonomiska utvecklingen i förväg. Jag erinrar därom, att vad som gav feodaliteten dess underlag var godshushållet, det som gav åt länsöverhögheten dess underlag, det var det territoriella hushållet, och den dag, då nationalhushållet sprängde det territoriella hushållets gränser, skapades i Europa de nationalstater, vilkas konturer blevo särskilt skarpa vid den nyare tidens början. Fullfölj, mina herrar, utvecklingen, idén, tankegången, och ni skola hamna i samma slutsats, där jag hamnat, nämligen att underlaget för den internationella staten måste vara ett världshushåll, liksom underlaget för nationalstatens tillblivelse var nationalhushållets tillblivelse. Man föregriper icke ekonomiska realiteter. Tyvärr är det för övrigt så, att utvecklingen momentant är på marsch från världshushållet tillbaka till nationalhushållet. Den oerhörda avspärrningspolitik, vi bevittna men som vi naturligtvis hoppas tillhör ett övergångsskede, har kastat den utveckling, om vilken den världsekonomiska konferensen i Geneve år 1927 drömde, så långt tillbaka, att man med oro frågar, när vi komma fram till det utgångsläge, vi hade 1927. Det dröjer därför. herr talman. länge, länge än, innan vi fått världshushållets ekonomiska realiteter så tillrättalagda, att över dem, på deras basis, kan välva sig en statlig ideologi, statliga inrättningar, statliga organisationsformer. Vägen till en internationell stat måste i första rummet gå fram över det internationella världshushållets förverkligande. Huvudförutsättningen i sin tur för att påskynda världshushållets tillblivelse är rustningarnas avskaffande, deras utrotande. höll jag på att säga, de strategiska gränsernas avlägsnande, spärrarnas fall och en ekonomisk och kulturell samverkan. Vi ha icke hunnit dit ännu, herr talman. Det nuvarande Nationernas förbund vilar därför, i den mån det söker att vara ett surrogat för</w:t>
        <w:br/>
        <w:br/>
        <w:t>en internationell stat, på en bedräglig fiktion, på chimärer. Det blir valv-</w:t>
        <w:br/>
        <w:br/>
        <w:t>ett samarbete bågar av luft och skum. Det är ännu icke den fasta grund, som vi kunna bygga</w:t>
        <w:br/>
        <w:br/>
        <w:t>mellan den organiserade arbetarrörelsen</w:t>
        <w:br/>
        <w:br/>
        <w:t>på med tillförsikt. Vid sådant förhållande finner jag för min del varje åtgärd, som i det nu-</w:t>
        <w:br/>
        <w:br/>
        <w:t>och Natiovarande syftar till att stärka sanktionssystemet, innan dessa förutsättningar nernas föruppfyllts, vara en åtgärd, som är så långt ifrån ägnad att befordra ett räd-</w:t>
        <w:br/>
        <w:br/>
        <w:t>dande av Nationernas förbund, att den tvärtom kan komma att ytterligare påskynda dess undergång.</w:t>
        <w:br/>
        <w:br/>
        <w:t>Det är med angivande av dessa synpunkter, herr talman, som jag hemställer om bifall till den reservation, som jag fogat till utskottsutlåtandet.</w:t>
      </w:r>
    </w:p>
    <w:p>
      <w:pPr>
        <w:pStyle w:val="Heading2"/>
      </w:pPr>
      <w:r>
        <w:t>2. August Sävström (Socialdemokraterna, man)</w:t>
      </w:r>
    </w:p>
    <w:p>
      <w:r>
        <w:rPr>
          <w:b w:val="0"/>
        </w:rPr>
        <w:t>Herr talman! Efter det långa anförande, som herr Engberg nyss hållit, kan det icke vara nödvändigt, att jag upprepar några av de skäl, som för oss varit bestämmande, då vi icke kunnat yrka bifall till Fabian Månssons motion.</w:t>
        <w:br/>
        <w:br/>
        <w:t>Nu har jag emellertid den uppfattningen, att när ett utskott efter en mycket lång överläggning enhälligt kommit till det resultatet, att en motion icke kan bifallas, så vore det önskvärt, att utskottet i sådant fall, och särskilt när det gäller ett omtvistat ärende, icke skrev någon längre motivering. Ty det förstår var och en, att det finns olika åsikter i ett utskott, och att kunna ena alla dessa i en lång och utförlig motivering, är ganska svårt. Ehuru jag icke reserverat mig, vill jag för min del säga, att det finns ett stycke i utlåtandet, och det är det sista stycket, om vilket man kan ha mycket delade meningar. Emellertid, ser jag på den reservation, som avgivits av herrar Vennerström och Engberg, så kan jag för min del icke instämma i den reservationen. Om jag nu, herr talman, pliktskyldigast kommer att yrka bifall till utskottets hemställan så vill jag säga, att jag ändå icke skulle ha något emot, om kammaren stannade vid ett sådant beslut, att den godkände klämmen med strykande av motiveringen. Ett sådant förslag har ju framställts av herr Flyg. Jag kan icke instämma i hans motivering, men om någon annan framställde ett sådant yrkande med en antagbar motivering, skulle det kanske vara det lyckligaste.</w:t>
      </w:r>
    </w:p>
    <w:p>
      <w:pPr>
        <w:pStyle w:val="Heading2"/>
      </w:pPr>
      <w:r>
        <w:t>3. Emanuel Björck (–, man)</w:t>
      </w:r>
    </w:p>
    <w:p>
      <w:r>
        <w:rPr>
          <w:b w:val="0"/>
        </w:rPr>
        <w:t>Herr talman! Jag skall genast lugna kammaren med att förklara, att jag icke skall hålla något storpolitiskt anförande, som herr Engberg gjorde. Även om jag ville, kan jag icke. Jag hari huvudsak begärt ordet för att säga något litet om utskottets motivering, därtill närmast uppkallad av herr Lundstedt.</w:t>
        <w:br/>
        <w:br/>
        <w:t>Herr Lundstedt har rätt i mycket, men han rör sig på ett abstrakt filosofiskt plan, där det icke alltid är lätt för oss andra att följa honom. Herr Lundstedt säger, att vi i motiveringen icke givit oss in på en mera realpolitisk prövning. Jag måste säga, att herr Lundstedts hela anförande var ett utomordentligt starkt stöd för den uppfattning, som finnes i utskottsbetänkandet. Det som är huvudmomentet i utskottsbetänkandet är detta, att om man överhuvud taget skulle kunna slå in på den linje, på vilken motionärerna äro inne, då skulle det faktiskt innebära ett brytande av statssuveräniteten. Och ingen kan vältaligare än herr Lundstedt framhålla, hur nödvändig statssuveräniteten är för upprätthållande av den inre ordningen, under det att han fullkomligt riktigt frambhöll, att folkförbundets svaghet är, att man där icke har någon överstatlig organisation, som har samma auktoritet och samma maktmedel för att upprätthålla ordning i förhållandet mellan länderna.</w:t>
        <w:br/>
        <w:br/>
        <w:t>När jag således säger, att herr Lundstedt har rätt i mycket av sin kritik, måste jag dock tillägga, att jag tycker, att han är alltför pessimistisk. Jag tycker dock, att det skett någonting. Jag var pessimistisk i början av folkförbundets tillvaro, men den pessimismen har jag nu övervunnit. Det har dock</w:t>
        <w:br/>
        <w:br/>
        <w:t>inträffat, att makter, som kommit i konflikt, kallats inför rätta och svarat, vilket icke skett förut. Det har inträffat, att man sammanträtt och internationellt diskuterat rustningarna, vilken fråga förut varit en strängt nationell fråga. Det är kanske icke stora framsteg, men det är dock en utveckling. Man bör efter min mening icke ställa alltför stora anspråk på denna fredsorganisation i dess första utveckling.</w:t>
        <w:br/>
        <w:br/>
        <w:t>Huvudskälet för utskottet har alltså varit, att man skulle genom att slå in på den väg, motionärerna förordat, bryta sönder statssuveräniteten, undergräva den auktoritativa samhällsmakten. Det skulle uppenbarligen bli resultatet. Det framgick också ganska tydligt av herr Engbergs mycket vältaliga anförande. Jag förvånar mig över att herr Lundstedt med sin uppfattning om statssuveräniteten kunde ansluta sig till sista punkten i herr Engbergs reservation. Den lyder nämligen så här: »Vidkommande slutligen det tredje önskemålet håller utskottet före, att initiativet till dess förverkligande lämpligen bör utgå från de internationella arbetarorganisationerna själva.»</w:t>
        <w:br/>
        <w:br/>
        <w:t>Jag kan icke förstå annat än att herr Lundstedt därmed ger ett finger åt en uppfattning om statssuveräniteten, som står fullständigt i strid mot den uppfattning, som han här utvecklat.</w:t>
        <w:br/>
        <w:br/>
        <w:t>Herr Engberg förklarade bestämt, att han icke kan vara med på utskottets motivering, därför att man där hävdade statssuveräniteten järnhårt utmejslad. Jag vill tillägga, att den icke på långt när är så järnhårt utmejslad i utskottsutlåtandet som den utmejslats i herr Lundstedts anförande.</w:t>
        <w:br/>
        <w:br/>
        <w:t>Herr Engberg sade också, att uppfattningen om statssuveräniteten triumferade i utskottets utlåtande. Ja, herr Engberg, den uppfattningen om statssuveräniteten triumferade nyss 1 Finland. Jag tror icke, att herr Engberg har någon erinran att göra däremot. Jag hoppas livligt, att förhållandena icke skola utveckla sig här i landet så, att herr Engbergs meningsfränder skola liksom de finska genom att bli angripna av en rörelse mot statssuveräniteten övertygas om, hur rätt herr Lundstedt hade, när han förfäktade statssuveräniteten mycket kraftigare än vi i utskottet. Statssuveräniteten och statsauktoriteten behövas både för upprätthållande av inre ordning och mellanfolklig ordning. Bryter man sönder den, blir det svårt att upprätthålla någondera av dessa fredsordningar. Folkförbundet vilar på en samling av suveräna stater. Bryter man sönder suveräniteten för de enskilda staterna, bryter man sönder själva grunden för folkförbundet.</w:t>
        <w:br/>
        <w:br/>
        <w:t>Herr Engberg sade, att han på stupstocken lagt en anka. Såvitt jag kan erinra mig, är ankan stendöd sedan många år, så att den avrättningen kan till och med en pacifist utan vedervilja verkställa.</w:t>
        <w:br/>
        <w:br/>
        <w:t>Det har talats om den japanska konflikten. Det passar mycket bra att draga in den i debatten i anknytning till vad herr Lundstedt och utskottet sagt. Man förbiser en omständighet, som icke alls är betydelselös. Jag vill fästa uppmärksamheten — i alldeles särskild grad herr Engbergs uppmärksamhet — på denna. Hur hade det varit, herr Engberg, i Kina, om Kina varit ett land med ordning, ett land med stark samhällsmakt, där det rått statssuveränitet och regeringen haft nödig auktoritet och nödiga maktmedel att hålla ordning i landet och att möta fienderna vid gränsen? Hade detta icke varit bättre, herr Engberg, för freden i världen, för folkförbundet och den internationella rätten? Jag tror, att vi böra fästa avseende vid detta sammanhang. Det har en ganska stor betydelse. När för någon vecka sedan man på kinesiskt håll gjorde motstånd mot inkräktarna, mottogs den nyheten med verklig glädje nere i Genéve. Jag vet, att herr Engberg läser tidningen »Journal de Geneve». Där förekom för några dagar sedan en artikel, skriven av tidningens redaktör, W. Martin, som framhöll, att motståndet från kinesiskt håll mot japanerna är en insats för freden och att, om det motståndet är tillräckligt starkt, kineserna</w:t>
        <w:br/>
        <w:br/>
        <w:t>Ang. kunna rädda folkförbundet. Jag instämmer med monsieur Martin. Men hur ekt semarbete rimmar herr Engbergs pacifistiska uppfattning med denna lärdom från verkorganiserade ligheten? arbetarrörelsen Den ärade motionären säger som totalomdöme om utskottets utlåtande, att och Natiodet röjer en total hopplöshet. Jag kan icke riktigt instämma med honom. Men "nnd fer om jag icke missförstod motionären, så står han på en lika hopplös ståndpunkt fredens besom utskottet. Ty motionären säger omedelbart efteråt, att internationalen är</w:t>
        <w:br/>
        <w:br/>
        <w:t>varande. ingenting annat än en parallell till folkförbundet, lika bräcklig och maktlös.</w:t>
        <w:br/>
        <w:br/>
        <w:t>ning om en bättre rättsordning. Men den grunden är ju enligt herr Månssons egen uppfattning lika bräcklig och kanske bräckligare än den, som uppbär den nuvarande rättsordningen.</w:t>
        <w:br/>
        <w:br/>
        <w:t>Man skall ha bägge tillsammans, säger herr Månsson nu. Då vill jag föreslå, att den ärade motionären utformar motionen tydligare nästa gång. Men skall man bygga på båda, då behöver man endast hålla sig till artikel 16 i pakten, som stadgar, att när blockad skall genomföras, det blockerande landet skall använda alla tillgängliga krafter.</w:t>
        <w:br/>
        <w:br/>
        <w:t>Jag skall icke fortsätta längre, herr talman, utan inskränka mig till att yrka bifall till utskottets såväl kläm som motivering.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