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706</w:t>
      </w:r>
    </w:p>
    <w:p>
      <w:r>
        <w:rPr>
          <w:b/>
        </w:rPr>
        <w:t xml:space="preserve">Datum: </w:t>
      </w:r>
      <w:r>
        <w:t>1932-05-11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Georg Bissmark (Första kammarens nationella parti, man)</w:t>
      </w:r>
    </w:p>
    <w:p>
      <w:r>
        <w:rPr>
          <w:b w:val="0"/>
        </w:rPr>
        <w:t>Herr talman! Jag skall först be att få vända mig med ett par ord till herr statsrådet och chefen för justitiedepartementet. Han framhöll här mycket kraftigt: Varför skola inte jordbrukarna kunna få taga lån eller inteckna sina inventarier, när industrien får göra detta? Jag vill då påpeka vilken väsentlig skillnad det finns mellan jordbruket och industrien i detta avseende. Vilja herrarna nu tänka sig, vad en fabrik är värd, som drabbas av konjunkturerna så hårt, att den måste nedläggas? Jo, kanske 10 procent av kostnaderna för dess uppförande, kanske ännu mindre. Dess värde beror helt och hållet på om den kan användas för det ändamål, för vilken den är avsedd. Ingen bank i världen lämnar — jo, om den är oförsiktig — ut lån enbart mot säkerhet av en industrifastighet. Banken måste ha andra garantier. Det är den stora skillnaden mellan en jordbruksfastighet och en industrifastighet, att jordbruksfastigheten har sitt givna värde, även om ägaren blir avkastad från densamma, under det att om industrien nedlägges, blir hela värdet av industrifastigheten reducerat till ett minimum. Det är därför, som industrien har större behov av förlagsinteckningar än jordbruket har.</w:t>
        <w:br/>
        <w:br/>
        <w:t>Jag vill också påpeka, vilken stor skillnad det är mellan industrien och Jordbruket ifråga om deras kreditförhållanden. När det gäller industrien, vända köpmän, som ge kredit, sig till bankerna för att få upplysning om ifrågavarande industris ställning och man litar på den upplysningen. Vart skall man i det avseendet vända sig, när det gäller en jordbrukare?</w:t>
        <w:br/>
        <w:br/>
        <w:t>Så har det talats här mycket om, att det finns ett verkligt behov av kredit för jordbrukarna — särskilt för arrendatorerna — och utskottet har ju också särskilt uttalat sig för arrendatorerna. Ja, jag skall gärna medge, att beträffande arrendatorerna ligger frågan i något annat skick. De ha inget hemman, som de kunna inteckna. En jordbrukare, som har intecknat sitt hemman så högt det går, har ingen möjlighet att förränta en större skuld. En arrendator däremot, som skall sätta upp ett större inventarium, kan behöva en inteckning. Min ståndpunkt är inte fullt så negativ i denna fråga, som det framgick av mitt första anförande. Jag glömde bort en punkt, som jag vill kalla det positiva förslaget, och jag vill hänvisa till en motion, som föreligger i andra kammaren och som behandlas i nästa ärende. Den utgår ifrån, att man borde omgestalta det gamla lösöreköpssystemet och medgiva en pantsättning av lös egendom under tillfredsställande former. Det skulle hjälpa alla — alltså inte bara jordbrukare utan även hantverkare och privatpersoner. Man skulle i stället för att ikläda lösöreköpet formen av köp göra det till en verklig pantsättning. Men, mina herrar, om man skall göra en sådan sak, skall man mycket starkt hålla på offentligheten. Det har anmärkts mot mig här, att jag har sagt, att det nya institutet skulle leda till att man smög med inventarieinteckningarna. I praktiken kommer man att smyga med mer. Det är visserligen sant, att handlingarna äro officiella hos inskrivningsdomarna, men de komma inte därför att bli bekanta för allmänheten. Det är därför, som jag talar om att man smyger med dem. Men skall man göra ett system för pantsättning av lösegendom, skall det ske i den formen, att man tillkännager, att den och den har pantförskrivit sin egendom, och vidare skall man ha en viss tid, inom vilken oprioriterade fordringar skola kunna göra sin rätt gällande, så att inte pantförskrivningen kränker deras intressen.</w:t>
        <w:br/>
        <w:br/>
        <w:t>Jag vill einra om att jordbruksutredningen hade det förslaget, att om första gången en inteckning å inventarierna tagits, så skulle varje fordringsägare</w:t>
        <w:br/>
        <w:br/>
        <w:t>ögonblickligen kunna utsöka sin fordran — förutsatt att denna rätt begagnades Lagförslag om inom sex månader efter det inteckningen togs, d. v. s. man fick då tillfälle inteckning: att sätta mannen i konkurs och få undersökt, hur hans affärsförhållanden voro veuarier och om pantsättningen avsåg att undandraga fordringsägarna nödiga säkerm. m. heter. Detta har alldeles slopats i det nuvarande lagförslaget. Det har inte (Forts) tagits någon hänsyn till de intressen, som övriga fordringsägare hava.</w:t>
        <w:br/>
        <w:br/>
        <w:t>Nu har det vidare talats om nödvändigheten och önskvärdheten av att få bort växelrytteriet och sådana här borgenskedjor. Ja, det kan väl ingen vara annat än ense om det önskliga i att göra detta, men tro herrarna, att man i denna kristid vinner detta ändamål på detta sätt? Jag vill då säga, att enligt min uppfattning kommer det helt enkelt att gå till så, att affärsbankerna, som ha växlar, och vilka förfalla först — sparbankernas lån äro ju mera stadigvarande med tre månaders uppsägning — komma att förklara nästa gång vederbörande omsätta en växel, att de böra inlägga en inventarieinteckning också. Då har denna bank fått täckning för sina växlar. Detta kommer att rubba hela borgenskedjan. De andra förlora så mycket mer, det vill säga de som gått i borgen för lånen i sparbankarna eller på andra håll. Dessa komma inte att få någon möjlighet att i nuvarande tider begagna detta sätt att konsolidera sig. |</w:t>
        <w:br/>
        <w:br/>
        <w:t xml:space="preserve">Jag medger visst att det kan ligga någonting i att ha en sådan möjlighet som här föreslås alt pantsätta inventarier, och jag skall be att få framlägga ett sådant fall. Antag att en person gör tabula rasa med sina affärer, lägger fram klart och tydligt hurudan hans ställning är, och det befinnes att 50 procents ackord är möjligt — han har alltså tillgångar till 30 procent av skulderna. Då göres efter det nuvarande systemet lösöreköp å den återstående egendomen, och det är då offentligen för alla känt, att den mannen har fått ackord och att lösöreköp kommit till stånd. Han lär inte vara förtjänt av någon nämnvärd kredit utöver vad han fått genom att han fått belåna på lösöreköpet en del av sina tillgångar. Lösöreköpet är olämpligt för detta ändamål, det vill jag villigt medge, emedan det icke passar för jordbruket genom de utbyten av inventarier, som ständigt försiggå inom jordbruket, och som göra att lösöreköpsförordningen där icke rätt kan tillämpas. Åtminstone blir det ytterligt osäkert genom den ständiga växling, som sålunda där råder. Det är i sådana fall, som jag för min del anser, att det kan vara av behov att ha ett pantsättningsinstitut för lösegendom. Där ha vi den riktiga användningen av detta institut, men det passar inte att </w:t>
      </w:r>
      <w:r>
        <w:rPr>
          <w:b/>
        </w:rPr>
        <w:t>flicka²</w:t>
      </w:r>
      <w:r>
        <w:rPr>
          <w:b w:val="0"/>
        </w:rPr>
        <w:t xml:space="preserve"> in i det nuvarande systemet med dess olika kreditformer.</w:t>
        <w:br/>
        <w:br/>
        <w:t>I övrigt vidhåller jag vad jag förut har sagt. Herr Nilsson trodde att man på detta sätt vidgar kreditmöjligheterna för jordbrukarna. Jag är tvärtom av den bestämda uppfattningen att man minskar kreditmöjligheterna för jordbrukarna genom denna lag, och att det kommer att leda till att på detta område mycket kommer att begås, som icke är juste. Det är vissa borgenärer som komma att gynnas, och det kommer att lånas i onödan — i varje fall i större utsträckning än vad vederbörande borde göra. I dessa kristider framför allt är det mycket betänkligt att antaga det föreliggande förslaget, och jag ber därför att få vidhålla mitt yrkande, herr talman.</w:t>
      </w:r>
    </w:p>
    <w:p>
      <w:pPr>
        <w:pStyle w:val="Heading2"/>
      </w:pPr>
      <w:r>
        <w:t>2. Axel Löfvander (Bondeförbundet, man)</w:t>
      </w:r>
    </w:p>
    <w:p>
      <w:r>
        <w:rPr>
          <w:b w:val="0"/>
        </w:rPr>
        <w:t>Herr talman! Jag vill för kammaren anföra ett fall, som förekommit i min hemsocken, och som visar, att det verkligen finns ett behov av en lagstiftning i den riktning vi här i dag diskutera.</w:t>
        <w:br/>
        <w:br/>
        <w:t xml:space="preserve">Under påskledigheten hade jag besök av en granne, en ung man som skött ett arrendejordbruk för ett stärbhus, vari han själv var delägare. Nu hade hans </w:t>
      </w:r>
      <w:r>
        <w:rPr>
          <w:b/>
        </w:rPr>
        <w:t>mor²</w:t>
      </w:r>
      <w:r>
        <w:rPr>
          <w:b w:val="0"/>
        </w:rPr>
        <w:t xml:space="preserve"> dött, man hade förrättat arvsskifte, och den unge mannen skulle nu övertaga lösöret. Han hade emellertid icke pengar tillräckligt för att betala</w:t>
        <w:br/>
        <w:br/>
        <w:t>människa att gå i borgen för sig. Jag kan ju nämna, att värdet av lösöret var minst tre gånger så stort som det belopp han behövde upplåna.</w:t>
        <w:br/>
        <w:br/>
        <w:t>Jag hade då just läst den kungl. propositionen i denna sak, och jag gav honom det rådet att vänta, tills vi fingo se riksdagens beslut.</w:t>
        <w:br/>
        <w:br/>
        <w:t>Detta är ett mycket typiskt fall, som visar att det är nödvändigt att åstadkomma en sådan lagstiftning som här är i fråga. Denne man, liksom alla andra, kunde helt enkelt inte starta i gång det hela utan att få denna hjälp. Jag medger ju att för de jordbrukare, som äro komna på det ekonomiska fallrepet, blir det ingen hjälp, och därutinnan är jag fullständigt överens med motståndarna till lagen. Men jag kan inte inse, att detta är något avgörande skäl.</w:t>
        <w:br/>
        <w:br/>
        <w:t>Herr justitieministern nämnde nyss om de kortvariga lån och krediter, som våra jordbrukare ha och jag vill understryka det synnerligen farliga i denna situation. Våra jordbrukare låna ofta exempelvis hos handlande på växlar, och har en jordbrukare fått sådana lån, blir han helt och hållet beroende av denne handlande. Han måste då göra sina affärer med honom och får ofta sämre betalt för de varor, han har att sälja, och betala mer för de varor han behöver köpa. Handlaren anser sig naturligtvis ha honom i sina garn.</w:t>
        <w:br/>
        <w:br/>
        <w:t>Genom ett sådant här inteckningsförfarande kan ju den, som inte är alltför illa utsatt förut, ordna en kredit, och det bör väl vara honom till hjälp. Herr Mellén finns inte närvarande i kammaren nu, annars skulle jag ha bemött honom då han uttalade det önskemålet, att man skulle »förbjuda jordbrukarna att låna pengar». Nu vill iag bara säga, att detta uttalande visar, att han tycks ha bra liten känning med det praktiska livet.</w:t>
        <w:br/>
        <w:br/>
        <w:t>Herr talman! Jag ber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706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