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1963</w:t>
      </w:r>
    </w:p>
    <w:p>
      <w:r>
        <w:rPr>
          <w:b/>
        </w:rPr>
        <w:t xml:space="preserve">Datum: </w:t>
      </w:r>
      <w:r>
        <w:t>1933-03-03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Agda Östlund (Socialdemokraterna, woman)</w:t>
      </w:r>
    </w:p>
    <w:p>
      <w:r>
        <w:rPr>
          <w:b w:val="0"/>
        </w:rPr>
        <w:t>Herr talman! Jag skulle ha avstått från att yttra mig i denna fråga, om det icke förekommit ett par yttranden i kammaren, som tvingat mig att begära ordet.</w:t>
        <w:br/>
        <w:br/>
        <w:t>Herr Westman började sitt anförande med att tala om propaganda, och jag skulle vilja svara honom, att propaganda är kanske vad som har bedrivits, och det är därför vi i dag stå där vi stå.</w:t>
        <w:br/>
        <w:br/>
        <w:t>Så kom herr Nilsson i Antnäs och bestod en alldeles utomordentligt god reklam för en tidning, som kommit i hans händer. Just dessa båda yttranden visa icke minst, vilken oerhörd oreda det finnes i uppfattningen om vad som bör och icke bör göras. Kan herr Nilsson i Antnäs gå i god för att den tidningen bedriver en lojal upplysningsverksamhet? Vi, som begära revision av denna lag, äro ingalunda eniga om att allt som skrives i frågan är lojal upplysning eller propaganda. Jag var själv med år 1929 och begärde, att det skulle införas en vederhäftig upplysning framför allt för ungdomen i alla de frågor, som höra till det sexuella livet. Yrkandet avsåg att bereda ungdomen från början en ren och klar uppfattning och att lära den aktning för de krafter i livet, som här taga sig uttryck. Det avslogs emellertid, och en av riksdagens ledamöter tog t. o. m. så pass stora ord i munnen, att han förklarade, att han hellre ville gå i fängelse än han ville tillåta, att hans barn finge någon upplysning i dessa frågor.</w:t>
        <w:br/>
        <w:br/>
        <w:t xml:space="preserve">Vi ha hela tiden, då vi talat i denna fråga, i synnerhet vi </w:t>
      </w:r>
      <w:r>
        <w:rPr>
          <w:b/>
        </w:rPr>
        <w:t>kvinnor¹</w:t>
      </w:r>
      <w:r>
        <w:rPr>
          <w:b w:val="0"/>
        </w:rPr>
        <w:t>, just försökt rikta blicken på att förhållandena ingalunda äro så bra som de borde vara, utan att man skulle försöka lämna en mera vederhäftig upplysning. Vi godkänna icke den upplysning, som ungdomen får i vilket gathörn som helst och hur som helst och av vilken som helst. Det är icke värdigt, och det visar icke bästa art av ansvar att säga, att så länge vi ha det så, kunna vi reda oss. Jag undrar i vilken annan fråga riksdagen skulle vilja tillämpa</w:t>
        <w:br/>
        <w:br/>
        <w:t>samma sats, som den gör, när det gäller den nu föreliggande ära Det har sagts flera gånger, exempelvis år 1929, när jag själv tillhörde motionärerna, att »någon tvekan icke längre behövde råda därom, att utan hinder av preventivlagen en vidsträckt upplysning kunde ordnas på detta område». Likaså säger utskottet i dag, att »preventivlagens bestämmelser lägga inga hinder i vägen för en lojal upplysning i detta hänseende». Skall detta sålunda betyda, att den upplysning, som hittills bedrivits på alla dessa områden, kan anses fullt tillfredsställande? Men är det så, att den lag, som finns, icke hindrar alla möjliga slag av upplysning, propaganda eller agitation, vad gör då lagen för nytta? Man brukar annars så ofta tala om att man bör ha aktning för lagarna, och då kan jag icke förstå annat än att det skulle vara en av riksdagens viktigaste uppgifter att tillse detta. Jag förstår ännu icke, huru utskottets majoritet, som säger sig vara lagens värnare framför alla andra, i samma minut som anvisning gives på, att upplysningsarbete obehindrat kan bedrivas, ändock anser, att aktningen för lagen kan upprätthållas.</w:t>
        <w:br/>
        <w:br/>
        <w:t>Herr talman, då jag redan instämt i herr Lindqvists yrkande, tillåter jag mig att upprepa detta.</w:t>
      </w:r>
    </w:p>
    <w:p>
      <w:pPr>
        <w:pStyle w:val="Heading2"/>
      </w:pPr>
      <w:r>
        <w:t>2. Nils Erik Nilsson (Högerns riksdagsgrupp, man)</w:t>
      </w:r>
    </w:p>
    <w:p>
      <w:r>
        <w:rPr>
          <w:b w:val="0"/>
        </w:rPr>
        <w:t xml:space="preserve">Herr talman, bara ett par ord! </w:t>
      </w:r>
      <w:r>
        <w:rPr>
          <w:b/>
        </w:rPr>
        <w:t>Fru²</w:t>
      </w:r>
      <w:r>
        <w:rPr>
          <w:b w:val="0"/>
        </w:rPr>
        <w:t xml:space="preserve"> Östlund säger, att det råder en sådan oreda i uppfattningarna om dessa saker och ting, och däri instämmer jag fullkomligt. Jag tycker också, att det råder en fullständig oreda i uppfattningarna. Försök ordna det så, att utgivaren av denna tidskrift blir åtalad. Skulle han bli fälld, då få vi fundera på om det är nödvändigt att ändra lagen, men jag tror, att han reder sig. Jag antar att detta är en lojal upplysningsverksamhet, en sådan som kan bedrivas med stöd av den lag, som nu finns.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