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1991</w:t>
      </w:r>
    </w:p>
    <w:p>
      <w:r>
        <w:rPr>
          <w:b/>
        </w:rPr>
        <w:t xml:space="preserve">Datum: </w:t>
      </w:r>
      <w:r>
        <w:t>1934-03-21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Staxäng (–, man)</w:t>
      </w:r>
    </w:p>
    <w:p>
      <w:r>
        <w:rPr>
          <w:b w:val="0"/>
        </w:rPr>
        <w:t>Herr talman! Då undertecknad väckt ifrågavarande motion, som blivit avstyrkt av utskottet, ber jag att få yttra några ord och därvid till en början konstatera, att utskottets utlåtande är ovanligt välvilligt till motionen. Man kan konstatera, att utskottets utlåtande i så stor utsträckning korresponderar med motionen, att man är litet förvånad, när man kommer till utskottets kläm och finner avstyrkandet. TI motionen framhålles t. ex., då det gäller tobaksmissbruket bland minderåriga, att det är med verklig oro man måste konstatera detta. I utskottets utlåtande heter det, att det förefaller sannolikt, att tobaksbruket är 1 tilltagande bland ungdomen. När det gäller tobaksmissbrukets skadliga verkningar, säger motionen, att det från läkarhåll finnes klara uttalanden, som gå i den riktningen, att det har skadligt inflytande på ungdomen. TI utskottets utlåtande säges det också. »att det ur samhällelig synpunkt är angeläget, att uppkomsten av dåliga och skadliga vanor såvitt möjligt hindras under ungdomstiden». Man kan alltså här peka på att utskottet är fullständigt enigt med motionären. Men när det sedan gäller att komma till åtgärder, då det gäller att mota det onda, har utskottet tvekat.</w:t>
        <w:br/>
        <w:br/>
        <w:t>Jag vill erinra kammarens ledamöter om att jag i denna fråga icke tror mig vara någon fanatiker. Jag är själv rökare, men jag anser, att tobaksbrukets skadliga verkningar äro störst vid yngre ålder och böra därför motarbetas då. Jag kan nämna, att den svenska riksdagen vid flera tillfällen har behandlat denna fråga. År 1906 föranledde en motion skrivelse till Kungl. Maj:t i saken, och kommerskollegium utarbetade då ett lagförslag, åsyftande försäljningsförbud. År 1919 hade en utredning hand om denna fråga, och denna utrednings betänkande utmynnade i att ett försäljningsförbud borde komma till stånd. Och jag vill även nämna, att vid detta betänkande var fogat ett särskilt yttrande, däri begärdes, att försäljningsförbudet skulle kompletteras med förbud för ungdomen att använda tobaksvaror.</w:t>
        <w:br/>
        <w:br/>
        <w:t xml:space="preserve">Jag tvivlar icke på att från skolmyndigheternas sida ha gjorts i mycket stor utsträckning vad på dem ankommer för att komma till rätta med denna sak, men utskottet säger självt, att det saknas bestämmelser vid flera skolor och att dessa icke heller äro ändamålsenligt utformade och att de delvis saknas vid skolor för </w:t>
      </w:r>
      <w:r>
        <w:rPr>
          <w:b/>
        </w:rPr>
        <w:t>kvinnlig¹</w:t>
      </w:r>
      <w:r>
        <w:rPr>
          <w:b w:val="0"/>
        </w:rPr>
        <w:t xml:space="preserve"> ungdom. När utskottet säger detta, tillägger utskottet emellertid en sak. Det säger: »Utskottet anser sig emellertid kunna förutsätta, att skolmyndigheterna i den mån sådant kan finnas behövligt komma att vidtaga sådana åtgärder, att vid samtliga ifrågavarande skolformer enhetliga bestämmelser utfärdas för åtminstone barn i skolpliktig ålder, samt tillse, att dessa ordningsregler i möjligaste mån efterlevas.&gt; Jag skulle</w:t>
        <w:br/>
        <w:br/>
        <w:t>Herr talman, jag förstår utskottets tvekan inför lagstiftning på området. Jag hyser själv den uppfattningen, att nya lagar ej böra genomföras utan tvingande skäl. Men det har visat sig, att i alla länder, där lagstiftning på ifrågavarande område kommit till stånd, har det varit till gagn. Men då man här ser, att mån, trots ett erkännansvärt upplysningsarbete på området, och trots att från en del skolmyndigheters sida avsevärda åtgärder kommit till stånd, kan peka på, att en ganska stor ökning av tobaksbruk föreligger bland ungdomen, så anser jag, att man måste kasta av sig tveksamheten och genomföra kraftigare åtgärder. Det är vanligt att man reagerar, när det gäller att störa ungdomens frihet. Jag kan icke gilla den ståndpunkten härvidlag. Här är ej fråga om att på något sätt kringskära ungdomens rätta frihet. Här är fråga om att skydda ungdomen.</w:t>
        <w:br/>
        <w:br/>
        <w:t>På grund av vad jag nu anfört, och då det tillika föreligger ett utlåtande, som med den motivering det innehåller bort resultera 1 ett tillstyrkande i stället för avslagsyrkande, tillåter jag mig, herr talman, yrka bifall till den i ämnet väckta motionen.</w:t>
      </w:r>
    </w:p>
    <w:p>
      <w:pPr>
        <w:pStyle w:val="Heading2"/>
      </w:pPr>
      <w:r>
        <w:t>2. Ivar Sefve (Högerns riksdagsgrupp, man)</w:t>
      </w:r>
    </w:p>
    <w:p>
      <w:r>
        <w:rPr>
          <w:b w:val="0"/>
        </w:rPr>
        <w:t xml:space="preserve">Herr talman! Som redan framhållits av herr Olsson j Staxäng, finnes det redan i praktiskt taget alla skolor bestämmelser, som skydda barnen från tobaksbruk. Det finnes sådana i samtliga läroverk, i kommunala mellanskolor, i folkskolor och fortsättningsskolor. På det hela taget är detta alltså förhållandet i alla skolor, som undervisa barn i de åldrar det är fråga om. Det enda som fattas är enhetliga bestämmelser beträffande en del </w:t>
      </w:r>
      <w:r>
        <w:rPr>
          <w:b/>
        </w:rPr>
        <w:t>flickskolor²</w:t>
      </w:r>
      <w:r>
        <w:rPr>
          <w:b w:val="0"/>
        </w:rPr>
        <w:t>, men utskottet har ej haft anledning tro annat, än att vederbörande skolmyndigheter, om så visar sig nödvändigt, även vid dessa skolor införa motsvarande bestämmelser, och det har gjort, att utskottet ej ansett särskilda skäl föreligga att tillstyrka skrivelse i detta avseende.</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