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2018</w:t>
      </w:r>
    </w:p>
    <w:p>
      <w:r>
        <w:rPr>
          <w:b/>
        </w:rPr>
        <w:t xml:space="preserve">Datum: </w:t>
      </w:r>
      <w:r>
        <w:t>1935-02-05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Hilding Hagberg (Vänsterpartiet, man)</w:t>
      </w:r>
    </w:p>
    <w:p>
      <w:r>
        <w:rPr>
          <w:b w:val="0"/>
        </w:rPr>
        <w:t>Jag har en viss anledning tro, att herr Hage kanske skall i en replik komma med ungefär samma invändningar mot denna motion som dem, han riktade mot herr Spångbergs nyss behandlade motion, och det kanske finns anledning för mig att säga, att jag skulle icke bli lika indignerad som herrar Kilbom och Spångberg, därest en sådan förebråelse skulle kastas mig i ansiktet, därför att det ligger verkligen något av sanning i dessa invändningar.</w:t>
        <w:br/>
        <w:br/>
        <w:t>Såsom bekant ha vi redan tidigare efter det senaste riksdagsmannavalet framställt samma förslag, och genom den behandling, frågan då fick, blev det fullständigt klarlagt, icke blott att de borgerliga partierna fortfarande ville slå vakt om denna lagstiftning mot fackföreningsrörelsen, utan även att socialdemokraterna ville slå vakt om densamma. Jag har ingen anledning antaga,</w:t>
        <w:br/>
        <w:br/>
        <w:t>att det skulle inträtt någon åsiktsförändring bland socialdemokraterna. Det finns dock skäl, som för mig varit bestämmande, när jag återigen ställt detta förslag, nämligen för det första, att vid det senaste valet visat sig en lika tydlig vänsterförskjutning som vid valet 1932, och för det andra, att detta val i mycket stor utsträckning stod i den antifackliga lagstiftningens tecken. Vi för vår del anse — och det ser ut, som om man till och med inom regeringen diskuterat samma sak — att det är orimligt, att riksdagen skall ha en sammansättning, som icke svarar mot folkets i flertal vid valet avgivna votum. Det är orimligt, att en borgerlig majoritet här skall vara den avgörande, när den i verkligheten representerar, vilket ju också bevisas av två på varandra följande val, en minoritet av folket. När vi därför framfört såsom vår mening, att riksdagen borde upplösas och folket i val lämnas möjlighet till en sammansättning av riksdagen, som svarar mot folkviljan, ingår vårt förslag om avskaffande av den antifackliga lagstiftningen såsom ett led i vår allmänna motivering just för detta.</w:t>
        <w:br/>
        <w:br/>
        <w:t>Nu säger utskottet i sitt utlåtande, att &gt;»motionärerna icke anfört skäl, som kunna föranleda utskottet att tillstyrka, att gällande lagstiftning om kollektivavtal och om arbetsdomstol upphäves». Ja, jag tror, att om jag kunnat komma med intyg och petitioner från svenska arbetsgivareföreningen och från arbetsgivare runt om i detta land, skulle utskottet med all säkerhet funnit, att här framförts mycket beaktansvärda synpunkter, som kanske till och med vore skäl nog för ett avskaffande av denna lagstiftning. Nu är det ganska klart, att jag icke haft någon anledning att försöka skaffa mig en sådan motivering, då jag naturligtvis icke kunnat få tag i någon, därför att man på borgerligt håll är mycket angelägen om att denna lag skall bestå i fortsättningen. Vi ha emellertid här anfört några mycket aktuella händelser, som bidraga till att belysa frågan, men vi ha icke ett ögonblick glömt, att långt före oss från det nuvarande regeringspartiets sida framförts både praktiskt och principiellt en motivering, som varit både långt gående och för övrigt, enligt min mening, ganska övertygande. Den var i varje fall på sin tid så pass övertygande, att vederbörande vågade förklara, att en sådan lagstiftning, om den genomfördes, aldrig skulle respekteras.</w:t>
        <w:br/>
        <w:br/>
        <w:t>Vi ha här blott tagit upp två fall, som bidraga till att belysa själva verkningarna av denna lag. Det ena fallet gäller konflikten vid Strebelverken, om vilken regeringsorganet Socialdemokraten skriver, att arbetarna dock i sak hade rätt gent emot arbetsgivarna. Arbetarnas organisationer ha emellertid föredragit att gå en annan väg än den, som lagstiftningen anvisade, och därför måste de lida nederlag och därför mobiliserade man också en massa andra lagbestämmelser mot dessa Strebelarbetare. Det andra fallet gäller Skenekonflikten, som på sitt sätt ganska bra belyser lagens verkningar. Här gällde det en textilarbetargrupp, som vid senaste avtalsrevisionen varit bestämda motståndare och röstade mot det avtalsförslag, som genomfördes. De befunno sig i minoritet, ehuru arbetsplatsens arbetare praktiskt taget voro eniga om det orimliga i detta kollektivavtal. De hade då egentligen ingenting annat att göra i en sådan situation, som då uppstod, än att antingen böja sig för lagen eller också gå ut i konflikt. Deras förbrytelse tycker jag för min del vara ganska anspråkslös. Arbetarna hade blivit hetsade av textilindustriens hårda och pressande rationaliseringstempo, och bland dem hade mognat den uppfattningen, att man borde genomföra en förkortning av arbetsveckan. I det fallet var arbetarnas krav ganska blygsamt. De ville blott få sluta sin arbetsvecka klockan 6 på lördagen. Det är ju i allmänhet så, att även den tidpunkten anses vara den senaste, som folk i allmänhet tycker, att</w:t>
        <w:br/>
        <w:br/>
        <w:t>man bör börja helgen vid. De kunde icke på förlnosälingsvågen. ll: Jenom att vända sig till arbetsdomstolen eller på annat sätt vinna gehör för sitt krav att få sluta arbetet klockan 6, och för dem återstod blott den vägen, att de själva slutade. Lagstiftningen förbjuder emellertid svenska arbetaren, då ett avtal träffats, att bestämma över sig själv, förbjuder honom att lämna arbetet 1 ett sådant fall fyra timmar, innan arbetstiden skall utgå. De skulle nämligen arbeta till klockan 10 på lördagskvällen, men de gingo hem och blevo instämda av arbetsgivarna till arbetsdomstolen, där de blevo med ett ord sagt så hunsade, att de blevo tvungna att läsa upp de svenska domarreglerna för domstolen. De dömdes naturligtvis, därför att lagen är sådan.</w:t>
        <w:br/>
        <w:br/>
        <w:t xml:space="preserve">Aven själva domen är dessutom belysande för att det är en klasslag. Jag nämner den redogörelse, som lämnats för en sådan dom, vilken visar, att några textilarbeterskor hade dömts att utge i skadestånd mellan 16 å 17 kronor per timme för den tid, de varit frånvarande från arbetet. Kanske de förtjänade 75 öre per timme, men när skadeståndet skulle utmätas, beräknades det icke efter den inkomst, som vederbörande </w:t>
      </w:r>
      <w:r>
        <w:rPr>
          <w:b/>
        </w:rPr>
        <w:t>arbeterska³</w:t>
      </w:r>
      <w:r>
        <w:rPr>
          <w:b w:val="0"/>
        </w:rPr>
        <w:t xml:space="preserve"> skulle haft, utan beräknades med hänsyn till den förlust, som vederbörande arbetsgivare lidit, och det var väl också en ideell skada, som skulle ersättas. Säkerligen hade det om arbetsgivarna befunnit sig i den situationen, att de skickat hem dem, och </w:t>
      </w:r>
      <w:r>
        <w:rPr>
          <w:b/>
        </w:rPr>
        <w:t>arbeterskorna³</w:t>
      </w:r>
      <w:r>
        <w:rPr>
          <w:b w:val="0"/>
        </w:rPr>
        <w:t xml:space="preserve"> gått till arbetsdomstolen, gått till på det viset, att om arbetsgivaren dömts till skadestånd skulle han kanske fått betala i skadestånd efter den timpenning, som vederbörande </w:t>
      </w:r>
      <w:r>
        <w:rPr>
          <w:b/>
        </w:rPr>
        <w:t>arbeterska³</w:t>
      </w:r>
      <w:r>
        <w:rPr>
          <w:b w:val="0"/>
        </w:rPr>
        <w:t xml:space="preserve"> hade, medan i stället </w:t>
      </w:r>
      <w:r>
        <w:rPr>
          <w:b/>
        </w:rPr>
        <w:t>arbeterskorna³</w:t>
      </w:r>
      <w:r>
        <w:rPr>
          <w:b w:val="0"/>
        </w:rPr>
        <w:t>, som hade 75 öre i timmen, dömdes att betala i skadestånd 16 å 17 kronor per timme, därför att de vägrade sälja sin arbetskraft en lördagskväll efter klockan 6. Det är typiskt för hur denna lag verkar, och det visar, att det är en klasslag, som riktar sin udd mot arbetarna och alla fackföreningarna.</w:t>
        <w:br/>
        <w:br/>
        <w:t>Härtill kommer också en annan sak. På grund av den allmänna utvecklingen avslutas numera kollektivavtal inom alla industrigrenar. Jag vill för min del icke ingå på något bedömande av det riktiga eller oriktiga i detta, men faktum är, att detta gör, att på de arbetsplatser, där förhållandena äro riktigt olidliga, konserveras dessa missförhållanden. Om arbetarna här rösta mot ett avtal, men befinna sig i minoritetsställning, hjälper icke, huru befogade och riktiga deras anmärkningar än äro, eller huru påtagligt olidliga förhållandena än äro. De förlora i alla fall. Lagen bidrager alltså till att kväva varje initiativ från den enskilda arbetargruppens sida till att hävda sin rätt. Lagen genomför en allmän nivellering — det är sant — men en nivellering nedåt i verkligheten.</w:t>
        <w:br/>
        <w:br/>
        <w:t>Nu har utskottet åberopat några siffror ur arbetsdomstolens handlingar, vilka visa, att från år 1929 till 1934 förekommit 1,081 fall, av vilka 207 varit instämda från arbetsgivarsidan och 866 från arbetarsidan. Detta är nu för socialdemokraterna det mest användbara argumentet, när det gäller för dem att försvara sitt understödjande av denna lagstiftning. Jag vill först ställa den frågan till dem: Vad skola dessa arbetare i dessa dagar göra, när de genom denna lagstiftning äro förhindrade att taga upp kampen på sina arbetsplatser? De ha blott arbetsdomstolen att vända sig till. De ha kommit i det läget, att de tvingats att i så stor utsträckning, som skett, vända sig till arbetsdomstolen. Detta bevisar ju också ett mycket intressant förhållande, nämligen huru litet arbetsgivarna i detta land respektera ingångna avtal. När "/; av samtliga mål äro instämda från arbetarsidan, får man nämligen förutsätta, att arbetarna anse, att argetsgivarna kränkt avtalen, ty eljest skulle de aldrig brytt sig om att underkasta frågan en juridisk granskning. Detta argument bevisar ingenting annat än huru trängda arbetarna äro i dagens si-</w:t>
        <w:br/>
        <w:br/>
        <w:t>tuation, och att de därför varit tvingade att vända sig till arbetsdomstolen. En undersökning skulle nog också visa en del andra saker och framför allt, att i de domar, som avkunnats, när det gäller en betydelsefull fråga, förlora i allmänhet arbetarna, men när det gäller diverse smärre frågor, finns det vissa chanser för arbetarna att kunna klara sig vid arbetsdomstolen.</w:t>
        <w:br/>
        <w:br/>
        <w:t>Herr talman! Jag är, såsom jag redan sagt en gång förut, genom riksdagens behandling för två år sedan av denna fråga fullt på det klara med socialdemokraternas ståndpunktstagande i frågan, men vi ha i alla fall ställt ett förslag, och jag yrkar bifall till den motion, som vi väckt i denna fråga, och vi komma att gå ut bland arbetarna med förslaget och detta i all synnerhet, ifall den borgerliga majoriteten tvingar regeringen att upplösa riksdagen, ty då kommer denna fråga att aktualiseras med större kraft än någonsin tidigare.</w:t>
      </w:r>
    </w:p>
    <w:p>
      <w:pPr>
        <w:pStyle w:val="Heading2"/>
      </w:pPr>
      <w:r>
        <w:t>2. Karl Magnusson (Socialdemokraterna, man)</w:t>
      </w:r>
    </w:p>
    <w:p>
      <w:r>
        <w:rPr>
          <w:b w:val="0"/>
        </w:rPr>
        <w:t>Det finns ingen anledning att förlänga denna debatt, i all synnerhet, som vi icke mindre än fyra gånger, sedan denna lag år 1928 antogs, haft tillfälle att resonera därom. Jag skall be att få ge motionären rätt däri, att han känner vår ståndpunkt lika väl, som vi känna hans.</w:t>
        <w:br/>
        <w:br/>
        <w:t>Emellertid kan jag icke underlåta att säga, att det var det mest olyckliga sätt, herr Hagberg kunde välja, för att motivera ett bifall till sin motion, när han grundar sin motivering på en rätt för arbetarna att bryta ett avtal. Här röra vi oss på så diametralt motsatta sidor och ha så olika åsikter, att ett resonemang är fullständigt fruktlöst med personer, som hävda den principen, att arbetarna skulle ha rätt att under gällande avtalstid bryta ett avtal, under det att vi å vår sida strängt hålla på den principen, att gällande avtal skola respekteras under giltighetstiden. I annat fall blir hela rättsordningen fullständigt satt på huvudet och uppriven.</w:t>
        <w:br/>
        <w:br/>
        <w:t>Den tolkning, som motionären tillät sig göra av den statistik, som meddelas i utskottets betänkande, anser jag vara en väl djärv frihandsteckning. Han påstod, att alla de fall, som arbetsdomstolen haft till prövning under dessa sex år, 1929—1934, vittnade om att avtalen blivit kränkta. Av de 1,081 fall, som domstolen haft att pröva, hava icke mindre än 866 varit instämda från arbetarsidan, under det att endast 207 instämts från arbetsgivarsidan och 8 fall hänskjutits till domstolen av parterna gemensamt. Detta visar ändå, att man på arbetarsidan allt mer och mer har fått tilltro och tillit till arbetsdomstolens objektivitet och saklighet vid bedömandet av ett avtals innehåll eller tolkningen av detsamma. Jag tror, att jag utan att begå något misstag, kan säga, att de allra flesta av arbetsdomstolens utslag ha rört just avtalens innebörd, tolkning och tillämpning o. s. v., och ingalunda ha gällt att under avtalstiden komma ifrån avtalets giltighet.</w:t>
        <w:br/>
        <w:br/>
        <w:t>Vidare är jag nog djärv att hävda den uppfattningen, att om det vore så, att den svenska fackföreningsrörelsen ansåge, att dessa lagar om kollektivavtal och om arbetsdomstol vore till hinder för fackföreningarnas legitima rätt att kämpa för sina intressen, så skulle fackföreningsrörelsen med sin auktoritet kunna få till stånd en opinion mot dessa lagar. Det har emellertid visat sig att dessa lagar icke varit till skada eller utgjort hinder för en legitim fackföreningsrörelse att arbeta för sina intressen.</w:t>
        <w:br/>
        <w:br/>
        <w:t>Det finns alltså ingen anledning, hur trevlig man än herr Hagberg är, att gå in för ett bifall till motionerna. Jag tror, att jag kan göra anspråk på att känna till den svenska fackföreningsrörelsen och de stämningar, som röra sig där, lika ingående som herr Hagberg gör. Jag tror, att den överväldigande majoriteten av Sveriges organiserade arbetare betacka sig för den poli-</w:t>
      </w:r>
    </w:p>
    <w:p>
      <w:pPr>
        <w:pStyle w:val="Heading2"/>
      </w:pPr>
      <w:r>
        <w:t>3. Hilding Hagberg (Vänsterpartiet, man)</w:t>
      </w:r>
    </w:p>
    <w:p>
      <w:r>
        <w:rPr>
          <w:b w:val="0"/>
        </w:rPr>
        <w:t xml:space="preserve">Herr talman! Det skulle ha varit synnerligen intressant, om herr Magnusson velat taga upp just de exempel, som jag här anförde och svarat på om det därvidlag förfarits rätt. Svarar det mot hans rättsmedvetande, att exempelvis en </w:t>
      </w:r>
      <w:r>
        <w:rPr>
          <w:b/>
        </w:rPr>
        <w:t>arbeterska³</w:t>
      </w:r>
      <w:r>
        <w:rPr>
          <w:b w:val="0"/>
        </w:rPr>
        <w:t xml:space="preserve">, som har 75 öre i timpenning, skall betala skadestånd på 16 å 17 kronor, därför att </w:t>
      </w:r>
      <w:r>
        <w:rPr>
          <w:b/>
        </w:rPr>
        <w:t>hon²</w:t>
      </w:r>
      <w:r>
        <w:rPr>
          <w:b w:val="0"/>
        </w:rPr>
        <w:t xml:space="preserve"> vägrat att sälja sin arbetskraft en lördagskväll efter klockan 6?</w:t>
        <w:br/>
        <w:br/>
        <w:t>Jag vill vidare betona, att herr Magnusson slår in fullständigt öppna dörrar, när han försöker göra gällande, att min argumentation skulle baseras på principen, att man skall ha rätt bryta avtal. Jag uppställde det icke alls såsom något principiellt riktigt eller något önskvärt i och för sig, att arbetare skulle kunna bryta avtal, men det finns avtal och det finns situationer, då arbetarna måste göra det. Jag anser mig med den statistik, som visar, att arbetarna i 866 fall måst vända sig till arbetsdomstolen, kunna påstå, att det i de flesta fall måste ha gällt fall, då arbetsgivaren kränkt eller brutit avtal, ty eljest skulle det ju icke ha lönat sig att gå till arbetsdomstolen. Med en sådan statistik för ögonen kan man dock icke utan vidare hävda, att de avtal, som äro ingångna, skola hållas till varje pris. Jag tror detta var det viktigaste i vad herr Magnusson hade att anföra till försvar för sin ståndpunkt, och jag anser icke, att hans argumentering håller.</w:t>
        <w:br/>
        <w:br/>
        <w:t>Jag vill tillägga, att jag tror herr Magnusson har alldeles rätt, när han säger, att han känner den svenska fackföreningsrörelsens ställning bättre än jag, väl att märka, när det gäller ledningens ställningstagande. Däremot tror jag, att jag ganska bra ger uttryck för vad menige man i den svenska fackföreningsrörelsen tänker, när jag säger, att dessa lagar utgöra ett hinder för arbetarna i deras legitima strävanden att försvara det enda, de ha att sälja, nämligen sin arbetskraft.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