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757</w:t>
      </w:r>
    </w:p>
    <w:p>
      <w:r>
        <w:rPr>
          <w:b/>
        </w:rPr>
        <w:t xml:space="preserve">Datum: </w:t>
      </w:r>
      <w:r>
        <w:t>1935-05-15</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Wigforss (Socialdemokraterna, man)</w:t>
      </w:r>
    </w:p>
    <w:p>
      <w:r>
        <w:rPr>
          <w:b w:val="0"/>
        </w:rPr>
        <w:t xml:space="preserve">Jag begärde ordet endast med anledning av att den siste talaren nämnde någonting om att utskottet hade valt att ge livränta i stället för ett kontantbelopp. Jag är alldeles ense med talaren om att i de allra flesta fall är livränta att föredraga, men i ett senare av dessa fall förhåller det sig på ett särskilt sätt, som kanske inte utskottsledamöterna ha uppmärksammat. Det gäller en gammal </w:t>
      </w:r>
      <w:r>
        <w:rPr>
          <w:b/>
        </w:rPr>
        <w:t>hushållerska³</w:t>
      </w:r>
      <w:r>
        <w:rPr>
          <w:b w:val="0"/>
        </w:rPr>
        <w:t xml:space="preserve">, som hade varit ganska länge hos sin husbonde. Alla äro ense om att </w:t>
      </w:r>
      <w:r>
        <w:rPr>
          <w:b/>
        </w:rPr>
        <w:t>hon²</w:t>
      </w:r>
      <w:r>
        <w:rPr>
          <w:b w:val="0"/>
        </w:rPr>
        <w:t xml:space="preserve"> skulle få fastigheten med lösöre. Advokatfiskalen vill inte ge </w:t>
      </w:r>
      <w:r>
        <w:rPr>
          <w:b/>
        </w:rPr>
        <w:t>henne²</w:t>
      </w:r>
      <w:r>
        <w:rPr>
          <w:b w:val="0"/>
        </w:rPr>
        <w:t xml:space="preserve"> något ytterligare. Jag anför detta, därför att det vittnar om att både Kungl. Maj:t och utskottet ha ansett sig kunna gå ifrån advokatfiskalen och vara mera generösa än han. Kungl. Maj:t föreslog ett kontantbelopp på 5,000 kronor, utskottet önskar ge en livränta på 480 kronor. I vanliga fall skulle man säkerligen också i departementet ha föredragit livräntan, men denna </w:t>
      </w:r>
      <w:r>
        <w:rPr>
          <w:b/>
        </w:rPr>
        <w:t>hushållerska³</w:t>
      </w:r>
      <w:r>
        <w:rPr>
          <w:b w:val="0"/>
        </w:rPr>
        <w:t xml:space="preserve"> Elin Andersson hade en gång år 1927 fått 5,000 kronor kontant av sin husbonde. När han dog, återfunnos dessa 5,000 kronor ograverade i </w:t>
      </w:r>
      <w:r>
        <w:rPr>
          <w:b/>
        </w:rPr>
        <w:t>hennes²</w:t>
      </w:r>
      <w:r>
        <w:rPr>
          <w:b w:val="0"/>
        </w:rPr>
        <w:t xml:space="preserve"> byrålåda. Man kan alltså vara ganska övertygad om att </w:t>
      </w:r>
      <w:r>
        <w:rPr>
          <w:b/>
        </w:rPr>
        <w:t>hon²</w:t>
      </w:r>
      <w:r>
        <w:rPr>
          <w:b w:val="0"/>
        </w:rPr>
        <w:t xml:space="preserve"> hör till den sortens folk, som kan taga vara på kontanta pengar. Därför har man inte ansett, att det var så farligt att gå på den vägen.</w:t>
        <w:br/>
        <w:br/>
        <w:t>Detta är som sagt — jag skall tillägga det — en omdömesfråga, och det är nog svårt att säga, vilka kusiner, som ha stått arvlåtaren närmast, detta fall eller det andra, som vi ha talat om, men säkert är, att de kusiner, det här gäller, ha det mycket sämre ställt ekonomiskt och skulle få en verklig hjälp, om de finge detta lilla arv, som det här gäller.</w:t>
        <w:br/>
        <w:br/>
        <w:t>Jag hoppas därför fortfarande, att denna kammare skall följa andra kammarens exempel.</w:t>
        <w:br/>
        <w:br/>
        <w:t>dels den avlidnas fastighet i kvarteret Våren i Borgholm till Ölands kulturminnesförening,</w:t>
      </w:r>
    </w:p>
    <w:p>
      <w:pPr>
        <w:pStyle w:val="Heading2"/>
      </w:pPr>
      <w:r>
        <w:t>2. Martin Svensson (–, man)</w:t>
      </w:r>
    </w:p>
    <w:p>
      <w:r>
        <w:rPr>
          <w:b w:val="0"/>
        </w:rPr>
        <w:t>Herr talman! Då jag står som reservant på denna punkt, skall jag be att få säga några ord.</w:t>
        <w:br/>
        <w:br/>
        <w:t xml:space="preserve">Här har Kungl. Maj:t framlagt ett förslag, att till Ölands kulturminnesförening skulle avstås medel, som tillfalla arvsfonden. Det gäller en byggnad Jämte lösören. Dessa medel ha tillkommit genom arv efter telegrafisten Sjöberg. </w:t>
      </w:r>
      <w:r>
        <w:rPr>
          <w:b/>
        </w:rPr>
        <w:t>Hon²</w:t>
      </w:r>
      <w:r>
        <w:rPr>
          <w:b w:val="0"/>
        </w:rPr>
        <w:t xml:space="preserve"> hade inte upprättat ordentligt testamente utan muntligen tillkännagivit sin önskan, att </w:t>
      </w:r>
      <w:r>
        <w:rPr>
          <w:b/>
        </w:rPr>
        <w:t>hennes²</w:t>
      </w:r>
      <w:r>
        <w:rPr>
          <w:b w:val="0"/>
        </w:rPr>
        <w:t xml:space="preserve"> fars fastighet i Borgholm jämte lösören skulle tillfalla Ölands kulturminnesförening. Emellertid har detta muntliga testamente icke vunnit bifall vid domstolen, och nu har Kungl. Maj:t gått till riksdagen för att få denna fråga prövad här.</w:t>
        <w:br/>
        <w:br/>
        <w:t>Det gäller i detta fall en princip, som varit före vid tidigare tillfällen, nämligen frågan huruvida juridisk person skall kunna få sådana medel, som efterskänkas ifrån arvsfonden. När år 1931 frågan förelåg genom en motion, som framfördes i denna kammare av herr Bengtsson, förklarade första lagutskottet, att det inte ville taga ståndpunkt till frågan, huruvida juridisk person skulle kunna få sådana medel eller de endast skulle tillfalla fysisk person.</w:t>
        <w:br/>
        <w:br/>
        <w:t>Under debatten i denna kammare yttrade en av reservanterna, greve Spens: »Utskottet har ej velat uttala någon bestämd mening i detta hänseende, men utskottet har yttrat, att om lagrummets tillämplighetsområde skulle omfatta kommuner, såsom motionärerna föreslagit, borde det med samma skäl även omfatta andra juridiska personer, såsom föreningar. Ja, detta skulle vi reservanter även hava föreslagit, om vi fått majoritet i utskottet och fått begagna oss av utskottets initiativrätt, men då vi, som vid första omröstnin-</w:t>
        <w:br/>
        <w:br/>
        <w:t>Av detta yttrande får man utläsa, att reservanterna, som stodo på motionärernas sida, skulle ha varit tillfredsställda med att riksdagen hade anslutit sig till en sådan uppfattning, som Kungl. Maj:t har förfäktat i årets proposition.</w:t>
        <w:br/>
        <w:br/>
        <w:t>Under debatten vid samma tillfälle yttrade herr Löfgren: »Jag för min del tror, att även juridiska personer inbegripas under lagens uttryck.»</w:t>
        <w:br/>
        <w:br/>
        <w:t>I andra kammaren hade borgmästare Björkman ett yttrande, som gick i samma riktning. Jag skall inte uppehålla mig vid det, då han kanske själv kommer att framföra sina skäl.</w:t>
        <w:br/>
        <w:br/>
        <w:t>Herr Bissmark har vid ett senare tillfälle, då det gällde det s. k. svedbomska arvet, yttrat: »För min del har jag emellertid kommit till det resultatet, att det även måste kunna gälla en juridisk person, men när det sedan gäller att fastställa, om denna juridiska person stått vederbörande nära eller ej, bör man vara ytterligt försiktig.»</w:t>
        <w:br/>
        <w:br/>
        <w:t>Det finnes således flera uttalanden ifrån auktoritativa jurister, att man kan göra den tolkning, som Kungl. Maj:t här gör.</w:t>
        <w:br/>
        <w:br/>
        <w:t xml:space="preserve">Nu föreligger just ett sådant fall, som herr Bissmark omnämnde, att den avlidne haft mycket intresse för den förening, det gäller. Denna </w:t>
      </w:r>
      <w:r>
        <w:rPr>
          <w:b/>
        </w:rPr>
        <w:t>fröken²</w:t>
      </w:r>
      <w:r>
        <w:rPr>
          <w:b w:val="0"/>
        </w:rPr>
        <w:t xml:space="preserve"> Sjöberg har tydligen varit mycket intresserad för att </w:t>
      </w:r>
      <w:r>
        <w:rPr>
          <w:b/>
        </w:rPr>
        <w:t>hennes²</w:t>
      </w:r>
      <w:r>
        <w:rPr>
          <w:b w:val="0"/>
        </w:rPr>
        <w:t xml:space="preserve"> fars kvarlåtenskap skulle tillfalla Ölands kulturminnesförening. Kungl. Maj:t gör den tolkningen av 5 kap. 3 $ i lagen om arv, att det finnes möjlighet att avstå allmänna arvsfonden tillfallet arv till förmån för juridisk person.</w:t>
        <w:br/>
        <w:br/>
        <w:t>Nu föreligga här ju också motioner, men jag för min del tror, att man i detta fall gör klokare, om man stannar vid vad Kungl. Maj:t har föreslagit och inte går så långt som motionärerna yrkat, vilka önska, att hela kvarlåtenskapen skulle tillfalla Ölands kulturminnesförening.</w:t>
        <w:br/>
        <w:br/>
        <w:t>Jag skall, herr talman, be att få yrka bifall till vad Kungl. Maj:t har föreslagit i den föredragna punkten.</w:t>
        <w:br/>
        <w:br/>
        <w:t>I detta anförande instämde herrar Walles, Bengtsson, Nylander, John Björck, Wijkström och Oscar Olsson.</w:t>
      </w:r>
    </w:p>
    <w:p>
      <w:pPr>
        <w:pStyle w:val="Heading2"/>
      </w:pPr>
      <w:r>
        <w:t>3. Theodor Borell (Högerns riksdagsgrupp, man)</w:t>
      </w:r>
    </w:p>
    <w:p>
      <w:r>
        <w:rPr>
          <w:b w:val="0"/>
        </w:rPr>
        <w:t>Herr talman, mina herrar! Den fråga, som här föreligger, avser ju, att en institution i Borgholm skulle få del av arvsmedel efter en avliden person. Om jag finge följa mitt hjärtas röst, så skulle jag vara mycket benägen att tillstyrka bifall till denna framställning, då det rör förhållanden i min fädernestad och förhållanden, som i och för sig enligt min uppfattning äro synnerligen behjärtansvärda. Då jag emellertid måst ställa mig på samma ståndpunkt som utskottet, skall jag be att få med några ord redogöra för skälen till detta mitt ställningstagande.</w:t>
        <w:br/>
        <w:br/>
        <w:t>Den föregående ärade talaren har sagt, att man här har att bedöma, huru de undantag, som äro gjorda från den allmänna arvslagen i dess 5 kap. 3 8, skola tolkas. Denna bestämmelse lyder, som herrarna säkert alla veta, så: »A rv, som tillfallit fonden, må, där det med hänsyn till omständigheterna får anses billigt, av Konungen med riksdagens samtycke helt eller delvis avstås till arvlåtarens skyldeman eller annan, som stått arvlåtaren nära.» Det gäller nu att tolka, huruvida denna bestämmelse »eller annan, som stått arvlåtaren nära» endast avser fysiska personer eller om bestämmelsen är tillämplig även på juridiska personer. Som den föregående ärade talaren anfört, ha skilda meningar tidigare yppats härom.</w:t>
        <w:br/>
        <w:br/>
        <w:t>För min del har jag kommit till den uppfattningen, att med detta stadgande icke kan avses annat än fysiska personer. När arvslagen och därmed denna bestämmelse kommo till, måste man väl antaga, att lagstiftaren avsåg att träffa undantagsbestämmelser för sådana personer, som fingo en inskränkning i en förutvarande rätt genom denna lagstiftning, d. v. s. de fysiska personerna. De juridiska personerna kommo genom lagstiftningen icke i någon sämre ställning än förut. De kunde förut aldrig få del av en avlidens kvarlåtenskap, såvida inte den avlidne hade gjort testamente, och kommo således ej genom denna lagstiftning i någon sämre ställning än förut. Man kan således a priori, menar jag, gå ut ifrån att lagstiftaren, när denna paragraf skrevs, hade för avsikt enbart att göra ett undantag till förmån för dem, som hade drabbats av lagstiftningen, och det innebäres ju i orden, att man skall kunna göra undantag till förmån för skyldemän, som stått arvlåtaren nära. Sedan ligger det ju mycket nära till hands, att den, som skrev denna lag, tänkte på att det kan finnas andra fysiska personer, som stå arvlåtaren nära på det sättet, att det kunde berättiga till att undantag gjordes även till förmån för dem. Närmast tänkte man väl då på sådana personer, som, ehuru icke skyldemän, hade uppoffrat sig på ett eller annat sätt för den avlidne, vårdat honom eller på annat sätt gjort prestationer till hans förmån, vilket gjort, att de kommit att stå arvlåtaren nära på samma sätt som man tänkte sig, att en skyldeman kunde stå honom nära. Man avsåg således ett rent personligt förhållande emellan arvlåtaren och skyldeman eller annan, ett sådant förhållande, som endast kan existera mellan fysiska personer. För min del kan jag således ej bibringas den uppfattningen, att när åt lagen gavs denna lydelse, man därmed avsåg även juridiska personer. Själva ordalagen säga detta. Man hade inte avfattat paragrafen på detta sätt, om man velat även åt juridiska personer inrymma den rätt, som det här är fråga om.</w:t>
        <w:br/>
        <w:br/>
        <w:t>Såvitt jag förstår, är tolkningen av denna paragraf avgörande för hur man skall bedöma det föreliggande fallet. Tolkar man paragrafen på det sätt, som jag har gjort, måste man draga den konsekvensen därav, att man skall ställa sig på avslagsståndpunkten.</w:t>
        <w:br/>
        <w:br/>
        <w:t>Nu kan det kanske komma att invändas, att även om man medger, att det väl ursprungligen har legat den mening i lagstiftningen, som jag nu har tilllåtit mig att angiva, så utgör detta intet hinder för riksdagen att, när fråga uppkommer om tillämpning av denna paragraf, ge paragrafen en vidlyftigare tolkning. För min del måste jag bestrida riktigheten av ett sådant betraktelsesätt. Tolkar jag lagen på det sättet, som jag angivit, kan ej riksdagen, menar jag, göra ett undantag, som strider mot denna lagstiftning, utan att ändra lagen eller giva en förklaring av lagen, som i så fall grundlagsmässigt skall behandlas precis på samma sätt som en ändring av lagen. Förklaring av lag är ju inte annat än en lagstiftningsåtgärd, som skall behandlas på samma sätt som när en ny lag stiftas eller en gammal lag ändras.</w:t>
        <w:br/>
        <w:br/>
        <w:t>På dessa skäl har jag således tvingats att ställa mig på avslagsståndpunkten, och jag tror också, att den ståndpunkt, som lagstiftaren enligt min mening har intagit genom att avfatta lagbestämmelsen på detta sätt, kan vara ganska välbefogad. Om man skall gardera sig för att man ej i alltför många fall gör avsteg från arvslagen, så är det naturligtvis vida svårare att få några hållpunkter, som motivera ett sådant avsteg, när det gäller juridiska personer, än när det gäller fysiska personer. Ty det är naturligtvis mycket svårare att beträffande en avliden fysisk person och en juridisk person konstatera det samband, som motiverar den ifrågavarande lagstiftningen, än då det gäller förhållandet mellan den avlidne och en fysisk person, som genom skyldskap eller på annat sätt stått honom nära, på samma sätt som skyldemannen</w:t>
        <w:br/>
        <w:br/>
        <w:t>Jag tror således, att den tanke, som har föresvävat lagstiftaren i det ögonblick, när denna lag skrevs, har en reell innebörd av mycket stor betydelse.</w:t>
        <w:br/>
        <w:br/>
        <w:t>På de skäl, som jag nu har anfört, herr talman, tillåter jag mig att yrka bifall till utskottets förslag i denna punkt.</w:t>
      </w:r>
    </w:p>
    <w:p>
      <w:pPr>
        <w:pStyle w:val="Heading2"/>
      </w:pPr>
      <w:r>
        <w:t>4. Ernst Wigforss (Socialdemokraterna, man)</w:t>
      </w:r>
    </w:p>
    <w:p>
      <w:r>
        <w:rPr>
          <w:b w:val="0"/>
        </w:rPr>
        <w:t>Det är kanske förmätet att uppträda i en debatt, som uppenbarligen i väsentlig mån kommer att röra sig om en lagtolkning, men jag befinner mig då i gott sällskap, eftersom utskottet inte har ansett sig sakna befogenhet att göra en lagtolkning. Det är uppenbart, att statsutskottets förslag innebär inte, att man lämnar frågan i samma läge som tidigare, nämligen i oklarhet, huruvida lagen skall tolkas på det ena eller andra sättet, utan statsutskottets förslag innebär uttryckligen, att riksdagen nu skall besluta, att för framtiden kan man icke låta arvsfonden avstå från arv till förmån för juridisk person. Detta är en inskränkning av möjligheterna, som man väl från saklig synpunkt kan ha mycket delade meningar om. Det kan mycket väl hända, att en del av dem, som här anse, att det med lagens nuvarande lydelse inte är möjligt att avstå arv till juridisk person, gärna skulle se, att lagen finge ett sådant innehåll, att man kunde göra detta.</w:t>
        <w:br/>
        <w:br/>
        <w:t>Nu ha, som vi veta, lagutskott och riksdag redan en gång förut haft denna fråga under behandling. Man ville den gången inte taga någon ståndpunkt och ge någon tolkning, närmast väl därför att man ansåg det riktigare att ge tolkningen i det konkreta fallet.</w:t>
        <w:br/>
        <w:br/>
        <w:t>Nu ligger det till på det sättet, och det kan inte undgå att spela en viss roll, att detta efterskänkande av arv till personer mycket väl kan, såsom herr Borell säger, syfta på sådana, vilkas tidigare rättigheter inskränktes, då den nya arvslagen kom, men å andra sidan tror jag, att det är värt att uppmärksamma, att då lagberedningen förberedde denna lagstiftning talade den i motiven tydligt om att under tidigare förhållanden ha statsmakterna, alltså Kungl. Maj:t med riksdagen, efterskänkt danaarv åt juridiska personer. Beredningen talar om inte mindre än sju fall, som inträffat under åren 1913— 1922. Fastän den ger denna redogörelse, tar den inte på något sätt avstånd därifrån genom att antyda, att den nya lagen bör tolkas så, att juridiska personer skola vara uteslutna. Man får väl då åtminstone draga den slutsatsen, att lagen kan tolkas både på det ena och det andra sättet, att den inte är fullt klar. Då återstår frågan: hur skall en sådan lagtolkning komma till stånd? Om vi hade att göra med en vanlig lag, skulle det väl gå till på det sättet, att saken kom inför domstol, och sedan domstolen fällt sitt utslag och vi hade fått ett prejudikat från högsta domstolen, skulle saken anses vara knäckt, och i fortsättningen skulle det dömas på det sättet. Nu kunna ju inte dessa saker komma inför allmän domstol, utan man får säga, att i viss mån representera statsmakterna domstolen här. Det blir statsmakterna, Kungl. Maj:t med riksdagen, som i det enstaka fallet få avgöra, huruvida man skall tolka lagen mera inskränkt eller mera vidsträckt. Kammaren står sålunda i detta ögonblick i det läget, att den kan avgöra, huruvida man vill skapa ett prejudikat åt det ena eller andra hållet.</w:t>
        <w:br/>
        <w:br/>
        <w:t>Då bör man uppmärksamma en synpunkt, som jag tycker spelar en viss roll, nämligen att frågan om avstående av arv kommer upp i ett annat sammanhang, men då endast hos Kungl. Maj:t. Det har förekommit just i detta fall. Här förelåg i fråga om Ölands kulturminnesförening ett s. k. muntligt testamente, och var och en, som haft något att göra med dessa muntliga testamenten — därtill får man, även om man inte är jurist, mycken anledning just i</w:t>
        <w:br/>
        <w:br/>
        <w:t xml:space="preserve">Ang. avstående till Ölands kulturminnesförening av viss fastighet. (Forts.) finansdepartementet, ty det blir jämt och ständigt fråga om huruvida klandertalan skall anställas — vet, att man där får gå på rena omdömesvägen, om man tror, att vad som uttalats muntligen, verkligen representerar den avlidnes vilja. Det förelåg ett sådant muntligt testamente från denna arvlåterska, och det innehöll, om man skulle ha följt det, att kvarlåtenskapen skulle ha gått till Ölands kulturminnesförening. Om Kungl. Maj:t då hade beslutat, att klandertalan icke skulle anställas, så hade hela arvet, inte bara fastigheten utan även den kontanta förmögenheten, utan vidare gått till Ölands kulturminnesförening. Nu beslöt man i stället, att klandertalan skulle anställas, därför att man inte ansåg, att det var fullt styrkt, att </w:t>
      </w:r>
      <w:r>
        <w:rPr>
          <w:b/>
        </w:rPr>
        <w:t>hon²</w:t>
      </w:r>
      <w:r>
        <w:rPr>
          <w:b w:val="0"/>
        </w:rPr>
        <w:t xml:space="preserve"> verkligen ville lämna alltsammans dit. I stället gick Kungl. Maj:t till riksdagen och hemställde, inte att hela kvarlåtenskapen skulle gå till kulturminnesföreningen utan endast, att fastigheten skulle gå dit. Den är taxerad till 6,000 kronor. Den skulle gå gravationsfri, så att den skulle kunna mottagas av denna kulturminnesförening. Då är det verkligen litet underligt, om riksdagen skulle säga: visserligen kunde Kungl. Maj:t ha låtit alltsamman gå till föreningen, men när vi skola yttra oss, vilja vi inte ge någonting.</w:t>
        <w:br/>
        <w:br/>
        <w:t>När man befinner sig i det läget, förefaller det, som om det skulle vara skäl, att första kammaren, liksom andra kammaren, 1 detta ögonblick knäckte frågan, så att man för framtiden visste vad man hade att rätta sig efter. Det innebär ju inte, att juridiska personer skola i alla möjliga fall få ärva. Det innebär endast, att man inte klipper av möjligheten för statsmakterna att gå denna väg. Detta är skillnaden mellan utskottsförslaget och Kungl. Maj:ts förslag. Utskottsförslaget innebär ett generellt avklippande av alla möjligheter, under det att Kungl. Maj:ts förslag endast innebär, att i de fall då Kungl. Maj:t och riksdagen gemensamt finna det skäligt, så kan ett efterskänkande ske.</w:t>
        <w:br/>
        <w:br/>
        <w:t>Jag skulle i detta fall hoppas, att kammaren fattar samma beslut som andra kammaren.</w:t>
      </w:r>
    </w:p>
    <w:p>
      <w:pPr>
        <w:pStyle w:val="Heading2"/>
      </w:pPr>
      <w:r>
        <w:t>5. Gustaf Adolf Björkman (Första kammarens nationella parti, man)</w:t>
      </w:r>
    </w:p>
    <w:p>
      <w:r>
        <w:rPr>
          <w:b w:val="0"/>
        </w:rPr>
        <w:t>Herr talman! Då jag tillåter mig inlöpa i denna debatt, är anledningen den att jag såsom ledamot i lagutskottet för några år sedan — år 1931 — hade anledning att taga ställning till en fråga av liknande beskaffenhet med den, som nu är före. Det gällde ju då en motion rörande fråga om tolkning av just dessa ord »annan, som stått arvlåtaren nära». Det gällde, om »annan» kunde vara en juridisk person eller ej. Lagutskottet sade i sitt yttrande över en motion, att utskottet ansåge sig icke böra uttala någon bestämd mening, huruvida motionärernas tolkning av lagrummet vore riktig eller icke. Motionärerna hade nämligen ansett, att det icke med lagrummets avfattning kunde vara förenligt att låta sådant arv gå till juridisk personlighet, varför de måste motionera om utsträckning av lagrummet, så att »annan» kunde gälla även en kommun.</w:t>
        <w:br/>
        <w:br/>
        <w:t>Jag medger gärna, att det är en synnerligen diskutabel sak, inför vars avgörande vi stå. Herr Borell sträckte sig inte längre än att han ansåg, att hans åsikt kunde vara ganska väl motiverad. Jag beaktar naturligtvis skälen för densamma, men å andra sidan kan jag icke underlåta att instämma i de skäl för den motsatta meningen, som anförts i den kungliga propositionen, som hävdar, att det knappast kan föreligga något bestämt hinder mot en vidsträcktare tolkning av lagrummet, så att däri redan nu inbegripes möjligheten, att icke endast en fysisk utan även en juridisk person kan få fonden tillfallet arv till sig efterskänkt, därest Konungen med riksdagens samtycke så finner billigt.</w:t>
        <w:br/>
        <w:br/>
        <w:t>Om man söker i motiven för lagen, finner man att lagberedningen icke sagt något bestämt härvidlag, ehuru den visserligen har uppräknat en del fall, syf-</w:t>
        <w:br/>
        <w:br/>
        <w:t>Ang. avstående till Ölands kulturminnesförening av viss fastighet. (Forts.) tande å fysiska personer, som kunde anses stå vederbörande arvlåtare personligen nära. Där finna vi en del långt avlägsna släktingar, en del arvlåtaren vårdande personer och andra. Men lagberedningen har icke något bestämt avståndstagande ifrån de juridiska personerna. Då vill man se, om förut gällande förhållanden kunna ge vägledning. Herr statsrådet har nyss erinrat om att då före den lagstiftning, som vi fingo med 1928 års arvslagar, fråga uppstod om avstående av danaarv, det oftast gällt avstående till fysiska personer, sådana som exempelvis hade vårdat vederbörande eller stått i nära förbindelse med denne, men icke kunde komma med bland dem, som enligt lag skulle få arv. Men när lagutskottet förra gången, 1931, behandlade ämnet uppmärksammades även fall, där efter proposition till riksdagen avståtts från danaarv även till förmån för juridiska personer. Det var en kommun, det var vissa frireligiösa samfund och andra, som ansågos så att säga ha varit inom den bortgångnes intressesfär. Lagberedningen, som: visste detta — det finns noter i lagberedningens betänkande, som visa, vart dessa danaarv gingo — har icke tagit avstånd från att dylika juridiska personer skulle i nu angivet hänseende kunna ifrågakomma.</w:t>
        <w:br/>
        <w:br/>
        <w:t>Nu kommer jag till en annan fråga, och även den berörde statsrådet. Det är möjligt för Kungl. Maj:t att om anledning förekommer att klandra ett testamente, som får anses vara ett riktigt uttryck för arvlåtarens yttersta vilja, avstå därifrån. Då kommer denna uraktlåtenhet att klandra visserligen under konstitutionell granskning, ty det är ju fråga om Kungl. Maj:ts beslut i konseljen, men det blir på ett helt annat vis, som riksdagen får kontroll över sättet att avstå vad som eljest skulle komma till arvsfonden. Med den snävare tolkningen av lagrummet skulle i ett fall som detta frestelsen för Kungl. Maj:t att avstå från klandertalan mot ett juridiskt svagt testamente till förmån för en juridisk person vara stor. Jag anser naturligtvis, att lagen skall tolkas såsom den bör tolkas och att inga friheter vid tolkningen böra få förekomma, men jag förmenar, att man härvidlag bör vara så förstående som möjligt, i avseende å vad under lagrummet kan inbegripas i en arvlåtares intresse, vilket i detta fall vill säga, att man skulle försöka utsträcka bestämmelsen om avståenderätt så långt som möjligt. Konungen med riksdagen får härvid finna den rätta tolkningen.</w:t>
        <w:br/>
        <w:br/>
        <w:t>Sedan kommer för mig en särskild syn på tingen, som står i överensstämmelse med den uppfattning, jag vid antagande av de nya arvslagarna tillät mig att uttala i andra kammaren, nämligen att med alla inskränkningar i arvsrätten det är en utomordentligt god gärning, varje gång man försöker ta bort hårdheten i de nya lagarna, så att man, där så är möjligt, låter arven gå till förut i dag omhandlade kusiner, icke blott önskvärda eller icke önskvärda utan det må vara nog med att de äro försvarbara. Men denna mildhet bör gälla icke bara kusiner utan även i avseende å andra intressen, som ha visat sig hos en person, som har varit sui juris, kunnat bestämma över sina gärningar, men kanske av rädsla att liksom skriva sin dödsdom, om han skreve under ett testamente, drar sig för att göra ett skriftligt förordnande. Det är detta, som gör, att nog många med mig i detta fall vilja se mildare på de bestämmelser som det gäller att tolka och vi se i det föreliggande materialet ej något hinder för vår tolkning. Om riksdagen nu ej skulle anse sig ha rätt fatta ståndpunkt i denna tolkningsfråga, skulle en ganska subtil erinran i avseende å riksdagens rätt att med Kungl. Maj:t tolka en lag av förevarande beskaffenhet kunna lända därhän, att vederbörande undansköto ansvaret och resultatet bleve rent negativt.</w:t>
        <w:br/>
        <w:br/>
        <w:t>Jag vill icke alls i denna debatt åberopa några utomstående auktorer, men jag anser, att riksdagen utan ringaste lagöverträdelse kan, beaktande av vid</w:t>
      </w:r>
    </w:p>
    <w:p>
      <w:pPr>
        <w:pStyle w:val="Heading2"/>
      </w:pPr>
      <w:r>
        <w:t>6. Petrus Gränebo (Bondeförbundet, man)</w:t>
      </w:r>
    </w:p>
    <w:p>
      <w:r>
        <w:rPr>
          <w:b w:val="0"/>
        </w:rPr>
        <w:t>Herr talman! Detta är ju en delikat fråga att uttala sig om, och jag begärde inte ordet närmast för att yttra mig om huru detta lagrum skall tolkas. Jag vill likväl säga, att jag i det avséendet ansluter mig till den mening, som företräddes av den senaste ärade talaren. Jag gör det på den grund, att paragrafen inte innehåller några bestämda uttalanden om huru den skall tolkas. T.o. m. herr Borell säger, att så och så har sannolikt varit lagstiftarnas mening, men herr Borell företedde inga bevis för denna sak, utan det var mera ett subjektivt omdöme, som herr Borell här ville framföra. Det kan ju hävdas den meningen, att när det nu inte här finns några objektiviteter att föredraga, man skulle vara så försiktig som herr Borell och säga: man skall vänta, tills Kungl. Maj:t och riksdagen stiftat lag och därigenom uttalat en bestämd mening om hur härvid skall förfaras. Jag får likväl säga, att när man har lämnat detta lagrum såpass otydligt, har man då inte därmed velat ge Kungl. Maj:t och riksdagen tillfälle att i varje särskilt fall pröva även juridiska personers möjlighet att komma i fråga här? Det skulle då gälla juridiska personer, som på ett eller annat sätt varit ihågkomna av arvlåtaren, och som skulle kunna sägas ha stått honom nära.</w:t>
        <w:br/>
        <w:br/>
        <w:t>När inte ens herr Borell bestämt uttalade, att paragrafen otvetydigt innehåller, att icke juridiska personer kunna komma i fråga, då anser Jag, att Kungl. Maj:t och riksdagen böra vara obundna att besluta i varje särskilt fall och även i detta. Jag kan inte inse annat än att om riksdagen nu säger, att den inte kan fatta beslut i detta fall, då har riksdagen redan tagit ståndpunkt till saken. Hur man än fattar beslut, tar man en viss ståndpunkt. Vill man gå in för den tolkning, som herr Borell ville göra gällande, kan man ju säga, att om den juridiska personen skall få något, får man hemställa om en ändring av lagrummet, men andra ha ju inte den meningen utan anse, att redan nu är lagrummet så pass vidlyftigt utformat, att det skall finnas möjlighet inom den ramen att ge arv åt den juridiska personen. Ty jag delar herr Borells mening, att vore härom något bestämt uttalat i lagen, skulle även riksdagen och statsmakterna känna sig bundna av att följa lagarna i det avseendet.</w:t>
        <w:br/>
        <w:br/>
        <w:t xml:space="preserve">Jag sade emellertid, att jag begärde ordet inte närmast för detta, utan för att tala om det materiella förhållandet i detta fall. Det är ju så, att en före detta telegrafist i Borgholm, Hedvig Sjöberg, uttalat, att </w:t>
      </w:r>
      <w:r>
        <w:rPr>
          <w:b/>
        </w:rPr>
        <w:t>hon²</w:t>
      </w:r>
      <w:r>
        <w:rPr>
          <w:b w:val="0"/>
        </w:rPr>
        <w:t xml:space="preserve"> önskade skänka sin kvarlåtenskap till Ölands kulturminnesförening. Detta gällde såväl fastighet som annan kvarlåtenskap. Fastigheten har ett taxeringsvärde av 6,000 kronor, och det är enligt Kungl. Maj:ts proposition meningen, att den skulle överlämnas gravationsfri. Men fastigheten åtföljes ju ändå av en del onera, en del kostnader, som komma att träffa kulturminnesföreningen, om den får fastigheten. Dels blir det en arvsskatt på 520 kronor, enligt vad som upplyses, dels blir det kostnader för iståndsättande av gator och gatureglering till fastigheten, vilket skulle gå till 550 kronor, dels finns det brister i själva fastigheten, vars reparerande enligt gjorda beräkningar skulle kosta 1,980 kronor. Det skulle alltså tillsammans avgå mer än 3,000 kronor, och kulturminnesföreningen finge fastigheten behäftad med en skuld av 3,000 kronor. Därför har i motion av herr Wagnsson och mig i denna kammare och av herr Jonsson 1 Mörbylånga i andra kammaren hemställts, att även den andra kvarlåtenskapen, som arvlåtaren efterlämnat och varom </w:t>
      </w:r>
      <w:r>
        <w:rPr>
          <w:b/>
        </w:rPr>
        <w:t>hon²</w:t>
      </w:r>
      <w:r>
        <w:rPr>
          <w:b w:val="0"/>
        </w:rPr>
        <w:t xml:space="preserve"> uttalat, att </w:t>
      </w:r>
      <w:r>
        <w:rPr>
          <w:b/>
        </w:rPr>
        <w:t>hon²</w:t>
      </w:r>
      <w:r>
        <w:rPr>
          <w:b w:val="0"/>
        </w:rPr>
        <w:t xml:space="preserve"> önskade</w:t>
        <w:br/>
        <w:br/>
        <w:t>Som nu frågan ligger, och då det inte är stora utsikter att få motionen igenom — ehuruväl jag helst skulle önskat yrka bifall till densamma — finner jag det inte lämpligt att göra detta, utan jag får nöja mig med att yrka bifall till Kungl. Maj:ts proposition, alltså att fastigheten skall överlämnas till kulturminnesföreningen. Men jag vill likväl vid detta tillfälle, då jag har ordet, påpeka, att denna kulturminnesförenings behov — den är av ganska ungt datum, men livaktig och intresserad för tillvaratagande av bygdens kulturminnen — må kunna tillgodoses på annat sätt, t. ex. genom lotterimedel, som ju användas för kulturfrämjande ändamål. Föreningen skulle på så sätt kunna få medel för att kunna mottaga fastigheten och sätta den i stånd.</w:t>
        <w:br/>
        <w:br/>
        <w:t>Jag ber alltså, herr talman, att få yrka bifall till Kungl. Maj:ts proposition på denna punkt.</w:t>
      </w:r>
    </w:p>
    <w:p>
      <w:pPr>
        <w:pStyle w:val="Heading2"/>
      </w:pPr>
      <w:r>
        <w:t>7. Ernst Klefbeck (Socialdemokraterna, man)</w:t>
      </w:r>
    </w:p>
    <w:p>
      <w:r>
        <w:rPr>
          <w:b w:val="0"/>
        </w:rPr>
        <w:t>Herr talman! TI den sista delen av herr andre vice talmannens yttrande kan jag instämma. Jag förstår, att det ändamål, som man vill understödja, är synnerligen behjärtansvärt, och det kännes därför mycket svårt att behöva gå emot det, allra helst då förslagsställaren är en man, som jag sätter högt värde på.</w:t>
        <w:br/>
        <w:br/>
        <w:t>Det gäller nu slutet på den paragraf i arvslagen, där det talas om »annan, som stått arvlåtaren nära». Eftersom jag — låt vara som en aldrig så ovärdig lekman — fått plats i första lagutskottet, skall jag bara be att få avgiva ett vittnesbörd från den tid, då vi behandlade frågan.</w:t>
        <w:br/>
        <w:br/>
        <w:t xml:space="preserve">Jag för min del hade då ingen aning om att det kunde vara fråga om annat än en fysisk person, och jag kan inte påminna mig, att något annat uttalades inom utskottet. Jag vågar inte bestämt påstå detta. Men som exempel på sådana personer, som stått arvlåtaren nära, anfördes upprepade gånger en gammal </w:t>
      </w:r>
      <w:r>
        <w:rPr>
          <w:b/>
        </w:rPr>
        <w:t>hushållerska³</w:t>
      </w:r>
      <w:r>
        <w:rPr>
          <w:b w:val="0"/>
        </w:rPr>
        <w:t xml:space="preserve"> eller vårdarinna, alltså fysiska personer 1 vanlig mening.</w:t>
        <w:br/>
        <w:br/>
        <w:t>Ett par år efteråt hade vi åter frågan uppe i lagutskottet, och då intogo vi den mycket försiktiga ståndpunkten, att vi förklarade saken icke vara avgjord och att vi därför icke vågade uttala oss om, huruvida juridisk person kunde inberäknas i uttrycket. Det förefaller mig därför rätt underligt, att statsutskottet, som inte sysslar med sådana här frågor, nu kunnat avge en sådan lagförklaring. Det förefaller mig, som om den rätta vägen skulle ha varit, att lagförklaringen givits på annat sätt.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757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