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2059</w:t>
      </w:r>
    </w:p>
    <w:p>
      <w:r>
        <w:rPr>
          <w:b/>
        </w:rPr>
        <w:t xml:space="preserve">Datum: </w:t>
      </w:r>
      <w:r>
        <w:t>1936-04-04</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Erik Lauren (–, man)</w:t>
      </w:r>
    </w:p>
    <w:p>
      <w:r>
        <w:rPr>
          <w:b w:val="0"/>
        </w:rPr>
        <w:t xml:space="preserve">Herr talman! På denna punkt har jag avgivit en reservation och tillstyrkt bifall till motionen om pension till f. d. stationsmästaren Carl Wilhelm Willborgs </w:t>
      </w:r>
      <w:r>
        <w:rPr>
          <w:b/>
        </w:rPr>
        <w:t>änka²</w:t>
      </w:r>
      <w:r>
        <w:rPr>
          <w:b w:val="0"/>
        </w:rPr>
        <w:t>.</w:t>
        <w:br/>
        <w:br/>
        <w:t>Ärendet ligger icke till på samma sätt som ärenden rörande pension åt änkor, vilkas män inte betalt avgifter till vederbörande pensionskassa. Denne stationsmästare Willborg hade betalt avgifter. Så blev han änkling och anmälde, att han inte önskade stå kvar i kassan därför att han inte hade några pensionsberättigade efterlevande. Sedan gifte han sig igen år 1915 och begärde då att få återinträda i kassan, och detta skulle han få mot erläggande av en avgift av 408 kronor. Men samma månad han ingick äktenskap förklarade han, att han inte önskade begagna sig av rätten att åter inträda i kassan. Det är obegripligt, att en sådan förklaring kan ges av en man som är 54 år gammal och gifter sig på nytt, då det inte gäller högre retroaktivt belopp än 408 kronor. Men det kan ju kanske förklaras av att han var sjuklig och led av åderförkalkning och knappast hade reda på vad han gjorde.</w:t>
        <w:br/>
        <w:br/>
        <w:t xml:space="preserve">Saken ligger sålunda litet annorlunda till än en del andra pensionsärenden av liknande slag. Då mannen betalat in avgifter under en lång följd av år, anser jag för min del, att det inte är annat än rättvist, att </w:t>
      </w:r>
      <w:r>
        <w:rPr>
          <w:b/>
        </w:rPr>
        <w:t>änkan²</w:t>
      </w:r>
      <w:r>
        <w:rPr>
          <w:b w:val="0"/>
        </w:rPr>
        <w:t>, som befinner sig i mycket små omständigheter, erhåller någon pension. Visserligen är det sant, att en person, som är delägare i en familjepensionskassa, inte kan få igen inbetalt belopp, därför att han saknar pensionsberättigade anhöriga. Men här</w:t>
        <w:br/>
        <w:br/>
        <w:t xml:space="preserve">Ang. understöd åt efterlevande till vissa i statens tjänst anställda personer m. fl. (Forts.) äro dock förhållandena sådana, att jag hemställer till kammaren att bifalla motionen och bevilja </w:t>
      </w:r>
      <w:r>
        <w:rPr>
          <w:b/>
        </w:rPr>
        <w:t>fru²</w:t>
      </w:r>
      <w:r>
        <w:rPr>
          <w:b w:val="0"/>
        </w:rPr>
        <w:t xml:space="preserve"> Willborg pension, i synnerhet som beloppet inte är föreslaget högre än till 440 kronor. Jag ber därför, herr talman, att få yrka bifall till min reservation och sålunda bifall till motionen i ärendet.</w:t>
      </w:r>
    </w:p>
    <w:p>
      <w:pPr>
        <w:pStyle w:val="Heading2"/>
      </w:pPr>
      <w:r>
        <w:t>2. Edvin Leffler (–, man)</w:t>
      </w:r>
    </w:p>
    <w:p>
      <w:r>
        <w:rPr>
          <w:b w:val="0"/>
        </w:rPr>
        <w:t>Herr talman! Även denna motion har tidigare — år 1934 — varit föremål för bankoutskottets och riksdagens behandling. Sedan dess har, så vitt man inom utskottet kunnat finna, ingenting nytt inträffat, som borde föranleda något ändrat ställningstagande till saken. Herr Laurén påpekar ju själv, att mannen i fråga vid det tillfälle, då han gifte om sig, hade möjlighet att återinträda i pensionskassan för en så ringa penning som 408 kronor, och herr Laurén framhöll också, att det måste anses fullständigt oförklarligt, att mannen inte begagnade sig av denna möjlighet. En förklaring skulle vara, att han redan vid den tidpunkten — vid en ålder av 54 år — skulle ha lidit av åderförkalkning. Detta är emellertid endast ett antagande, och det har inte presterats något bevis därför inom utskottet. Under sådana förhållanden har utskottet ansett sig inte kunna frångå den ståndpunkt utskottet intog år 1934, och därför tillåter jag mig, herr talman, yrka bifall till utskottets hemställan.</w:t>
      </w:r>
    </w:p>
    <w:p>
      <w:pPr>
        <w:pStyle w:val="Heading2"/>
      </w:pPr>
      <w:r>
        <w:t>3. Erik Lauren (–, man)</w:t>
      </w:r>
    </w:p>
    <w:p>
      <w:r>
        <w:rPr>
          <w:b w:val="0"/>
        </w:rPr>
        <w:t xml:space="preserve">Herr talman! Detta ärende är i mycket likt det föregående. Här gäller det pension till </w:t>
      </w:r>
      <w:r>
        <w:rPr>
          <w:b/>
        </w:rPr>
        <w:t>änkan²</w:t>
      </w:r>
      <w:r>
        <w:rPr>
          <w:b w:val="0"/>
        </w:rPr>
        <w:t xml:space="preserve"> efter en person, som varit delägare i familjepensionskassa. Han blev änkling, gifte sig sedan igen och hade, unligt vad som upplysts av motionärerna, inte råd att betala den avgift, som skulle falla på honom, därest han skulle få pensionsrätt för </w:t>
      </w:r>
      <w:r>
        <w:rPr>
          <w:b/>
        </w:rPr>
        <w:t>hustrun²</w:t>
      </w:r>
      <w:r>
        <w:rPr>
          <w:b w:val="0"/>
        </w:rPr>
        <w:t xml:space="preserve"> i det senare äktenskapet. Det är riktigt, att ärendet varit föremål för riksdagens behandling tidigare och att riksdagen då avslagit motionen. Men det finns en del fall, då riksdagen bortsett från en dylik uraktlåtenhet att återinträda i familjepensionskassa. Även om man i stort sett måste taga hänsyn till en sådan sak, kan det ju även härvidlag göras ett undantag. </w:t>
      </w:r>
      <w:r>
        <w:rPr>
          <w:b/>
        </w:rPr>
        <w:t>Änkan²</w:t>
      </w:r>
      <w:r>
        <w:rPr>
          <w:b w:val="0"/>
        </w:rPr>
        <w:t xml:space="preserve"> hade skött om familjen under en föregående tid, då det inte fanns någon husmor, som kunde hjälpa barnen. Sedan gifte sig mannen med </w:t>
      </w:r>
      <w:r>
        <w:rPr>
          <w:b/>
        </w:rPr>
        <w:t>henne²</w:t>
      </w:r>
      <w:r>
        <w:rPr>
          <w:b w:val="0"/>
        </w:rPr>
        <w:t xml:space="preserve">, men han uraktlät att betala avgift till kassan för </w:t>
      </w:r>
      <w:r>
        <w:rPr>
          <w:b/>
        </w:rPr>
        <w:t>henne²</w:t>
      </w:r>
      <w:r>
        <w:rPr>
          <w:b w:val="0"/>
        </w:rPr>
        <w:t xml:space="preserve">. Det är sant, att det är denna hans uraktlåtenhet, som nu straffas, men jag vill framhålla i detta liksom i föregående fall, att mannen i fråga dock betalt in avgifter till kassan. När han nu inte fortsatte att betala, kan hans </w:t>
      </w:r>
      <w:r>
        <w:rPr>
          <w:b/>
        </w:rPr>
        <w:t>änka²</w:t>
      </w:r>
      <w:r>
        <w:rPr>
          <w:b w:val="0"/>
        </w:rPr>
        <w:t xml:space="preserve"> inte få pension ens på det inbetalta beloppet. Kammaren har nyss avvisat ett liknande fall, men jag tillåter mig ändå, herr talman, att yrka bifall till reservationen. Det föreligger här ömmande omständigheter, och jag vill påpeka, att riksdagen förut med beaktande av sådana ömmande omständigheter beviljat pension åt änkor, vilkas män aldrig betalt ett öre till pensionskassa. Då frågar man sig: skall inte, när mannen betalt in avgifter, </w:t>
      </w:r>
      <w:r>
        <w:rPr>
          <w:b/>
        </w:rPr>
        <w:t>änkan²</w:t>
      </w:r>
      <w:r>
        <w:rPr>
          <w:b w:val="0"/>
        </w:rPr>
        <w:t xml:space="preserve"> få åtnjuta någon avkastning av dem? Kan inte riksdagen vara så barmhärtig?</w:t>
        <w:br/>
        <w:br/>
        <w:t>Jag ber, herr talman, att få yrka bifall till reservationen.</w:t>
      </w:r>
    </w:p>
    <w:p>
      <w:pPr>
        <w:pStyle w:val="Heading2"/>
      </w:pPr>
      <w:r>
        <w:t>4. Edvin Leffler (–, man)</w:t>
      </w:r>
    </w:p>
    <w:p>
      <w:r>
        <w:rPr>
          <w:b w:val="0"/>
        </w:rPr>
        <w:t>Herr talman! Jag får verkligen erkänna, att det är ledsamt att behöva stå här och ideligen försvara utskottet på ett sätt, som jag inte skulle göra, om jag skulle följa mitt hjärtas bud.</w:t>
        <w:br/>
        <w:br/>
        <w:t>Detta fall är lika ömmande som det som nyss behandlades och där riksdagen avslog framställningen om pension. Frågan har varit föremål för kammarens behandling tidigare, och kammaren gick då emot motionen i enlighet med utskottets förslag. Man tycks räkna med att om man åter och åter kommer till riksdagen med samma motion, även om det inte finns något nytt att tillägga, skall man så småningom trubba av motståndet och få sin vilja igenom. Om så är fallet, tycker jag, att det är en mycket osympatisk metod.</w:t>
        <w:br/>
        <w:br/>
        <w:t>Det föreligger här mycket ömmande omständigheter — det är jag den första att medgiva — men jag vågar göra gällande, att lika ömmande omständigheter skulle kunna anföras i tusen och åter tusen fall för att personer skulle få pension från statens sida. Det finns ingen möjlighet för riksdagen att bevilja pension, om inte man är beredd att taga alla de konsekvenser det skulle medföra. Jag menar, att vi måste göra klart för oss, att varje gång vi bryta mot någon vedertagen praxis, äro vi ute på det sluttande planet, och vi veta inte,</w:t>
      </w:r>
    </w:p>
    <w:p>
      <w:pPr>
        <w:pStyle w:val="Heading2"/>
      </w:pPr>
      <w:r>
        <w:t>5. David Hall (Socialdemokraterna, man)</w:t>
      </w:r>
    </w:p>
    <w:p>
      <w:r>
        <w:rPr>
          <w:b w:val="0"/>
        </w:rPr>
        <w:t>Herr talman! Utskottets ärade vice ordförande har erkänt, att han är ledsen att behöva yrka avslag på den föreliggande motionen, och det säger ju en hel del rörande det fall, som det här är fråga om. I utskottet, där alla skäl för denna pensionsfråga kunnat framläggas, har den avgjorts med endast en rösts majoritet, och flera av dem, som röstat mot pensionen, ha erkänt, att mycket starka skäl talade för att pension 1 detta fall borde beviljas.</w:t>
        <w:br/>
        <w:br/>
        <w:t xml:space="preserve">Man åberopar här konsekvenserna av att bevilja pension i ett fall som detta. Jag vågar påstå, att om man inte sträcker sig längre än vad här är fråga om, träffar man inte en statstjänare på tiotusen, som man behöver offra några hundra kronor på av dessa skäl. Här är det ju dock ett så pass säreget och egendomligt fall, att något liknande inte gärna kan inträffa så värst många gånger. Jag vill sålunda erinra om, att här har en befattningshavare betalat pensionsavgifter under en mera än 30-årig tjänstgöring, men när så befattningshavaren avlider, får hans </w:t>
      </w:r>
      <w:r>
        <w:rPr>
          <w:b/>
        </w:rPr>
        <w:t>änka²</w:t>
      </w:r>
      <w:r>
        <w:rPr>
          <w:b w:val="0"/>
        </w:rPr>
        <w:t xml:space="preserve"> ändå ingen pension, beroende därpå, att äktenskapet ingåtts några månader efter den tidpunkt, då det enligt pensionsreglementet skulle ha ingåtts, för att </w:t>
      </w:r>
      <w:r>
        <w:rPr>
          <w:b/>
        </w:rPr>
        <w:t>änkan²</w:t>
      </w:r>
      <w:r>
        <w:rPr>
          <w:b w:val="0"/>
        </w:rPr>
        <w:t xml:space="preserve"> skulle få pension. I utskottet har också framlagts skälen, varför äktenskapet kom att uppskjutas. En medverkande omständighet till detta var, att befattningshavaren själv blev sjuk och tvingades att avgå ur tjänsten på grund av sjukdom tre år före den ordinarie pensionsåldern. Dessutom gäller det här en </w:t>
      </w:r>
      <w:r>
        <w:rPr>
          <w:b/>
        </w:rPr>
        <w:t>kvinna¹</w:t>
      </w:r>
      <w:r>
        <w:rPr>
          <w:b w:val="0"/>
        </w:rPr>
        <w:t xml:space="preserve">, som sedan åtskilliga år tillbaka varit knuten till familjen såsom vårdare av övriga sjuka familjemedlemmar och som sålunda i sitt arbete helt och hållet fyllt en </w:t>
      </w:r>
      <w:r>
        <w:rPr>
          <w:b/>
        </w:rPr>
        <w:t>hustrus²</w:t>
      </w:r>
      <w:r>
        <w:rPr>
          <w:b w:val="0"/>
        </w:rPr>
        <w:t xml:space="preserve"> uppgifter.</w:t>
        <w:br/>
        <w:br/>
        <w:t>Jag skulle tro, att om man inte är mera generös, inte drar gränsen vidare, då det gäller att bevilja pensioner, än i detta fall, så innebär ett bifall till framställningen inte några större farligheter för framtiden. I detta fall vore det enligt min mening en upprörande orättvisa, om riksdagen skulle vägra att lämna ett mindre understöd. Hade äktenskapet kommit att ingås några månader tidigare, hade pensionskassan fått betala en pension, som varit dubbelt så stor som det lilla understöd, som här begäres.</w:t>
        <w:br/>
        <w:br/>
        <w:t>Herr talman! Med dessa ord ber jag att få yrka bifall till herr Lauréns m. fl.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2059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