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782</w:t>
      </w:r>
    </w:p>
    <w:p>
      <w:r>
        <w:rPr>
          <w:b/>
        </w:rPr>
        <w:t xml:space="preserve">Datum: </w:t>
      </w:r>
      <w:r>
        <w:t>1936-06-15</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Helge Bäcklund (Socialdemokraterna, man)</w:t>
      </w:r>
    </w:p>
    <w:p>
      <w:r>
        <w:rPr>
          <w:b w:val="0"/>
        </w:rPr>
        <w:t>Herr talman! "Trots den långa debatt, som förts i ett annat ärende här i dag, kan jag inte underlåta att i detta sammanhang yttra mig om det föreliggande reglementsförslaget.</w:t>
        <w:br/>
        <w:br/>
        <w:t xml:space="preserve">I 2 $ av detta förslag har Kungl. Maj:t bland pensionsberättigade upptagit avliden befattningshavares arvsberättigade barn, som ej uppnått 21 års ålder. Utskottet har däremot föreslagit, att denna åldersgräns skulle sättas till 19 år. Att genast införa denna åldersgräns, såvitt gäller civilstatens och telegrafverkets befattningshavare, har dock icke låtit sig göra, enär 1 för dem nu gällande pensionsreglementen medges pensionsrätt för barnen, intill dess desamma uppnått 21 års ålder. Det undantag, som på grund härav måste göras för nuvarande befattningshavares efterlevande, kan, om utskottets förslag antages, komma att i vissa fall upphöra först om ungefär 60 år. En civilstatens befattningshavare, som nu är trettio år, kan enligt detta reglemente få pension på grund av giftermål, ingånget intill dess han är 65 år, och om han gifter sig emellan 60 och 65 'med en ung </w:t>
      </w:r>
      <w:r>
        <w:rPr>
          <w:b/>
        </w:rPr>
        <w:t>kvinna¹</w:t>
      </w:r>
      <w:r>
        <w:rPr>
          <w:b w:val="0"/>
        </w:rPr>
        <w:t xml:space="preserve"> och de få pensionsberättigade barn efter sig, har ju befattningshavaren först en trettiofemårig tjänstetid, och sedan få barnen pensionsrätt i 21 år. På detta sätt kan övergångsbestämmelsen för civilstatens och telegrafverkets befattningshavares efterlevande komma att tilllämpas i bortåt sextio år.</w:t>
        <w:br/>
        <w:br/>
        <w:t>Jag tycker det är mycket egendomligt att göra ett reglemente med en sådan väldig övergångstid. Kungl. Maj:t har undvikit detta genom att pensionsåldern för barn generellt bestämts till 21 år.</w:t>
        <w:br/>
        <w:br/>
        <w:t>Det vore kanske ingenting att säga om utskottets sänkning av pensionsåldern, i varje fall inte lönt att bråka något nämnvärt om den, om den blivit tillämpad genast, men så är icke förhållandet. Den tillämpas genast bara för personalen vid statens järnvägar och deras efterlevande, medan man däremot för civilstatens och telegrafverkets del fått skapa en övergångbestämmelse av detta slag. Man kan ju inte fatta, varför statens Järnvägars personals efter-</w:t>
        <w:br/>
        <w:br/>
        <w:t xml:space="preserve">Utskottet har motiverat saken på följande sätt: därför att civilstaten och telegrafverket i sina nuvarande reglementen — åtminstone beträffande telegrafverket dock endast för vissa kortare tider — ha fått tillstånd att pensionera barnen intill 21 års ålder, så skola de få bibehålla denna tid, men därför att statens järnvägars reglemente nu medger pension för barn intill aderton år, skola dessa nu få pension till 19 år, vilket sedermera skall stadgas generellt. Kan någon, som känner till förhållandena anse, att det finns någon rättvisa i detta? Jag anser mig känna till förhållandena, ty jag har varit fullmäktig och dess vice ordförande samt revisor i statens Järnvägars </w:t>
      </w:r>
      <w:r>
        <w:rPr>
          <w:b/>
        </w:rPr>
        <w:t>änkeoch²</w:t>
      </w:r>
      <w:r>
        <w:rPr>
          <w:b w:val="0"/>
        </w:rPr>
        <w:t xml:space="preserve"> pupillkassa i många år. Saken är ju den, att kassan har gott om pengar, vilket också visade sig vid den nu träffade uppgörelsen, då det räknades med att då statens blivande stora kassa fått sitt och den matematiska beräkningen blivit gjord, skulle statens järnvägars </w:t>
      </w:r>
      <w:r>
        <w:rPr>
          <w:b/>
        </w:rPr>
        <w:t>änkeoch²</w:t>
      </w:r>
      <w:r>
        <w:rPr>
          <w:b w:val="0"/>
        </w:rPr>
        <w:t xml:space="preserve"> pupillkassa få en hel del pengar över. Det har alltså icke berott på ekonomiska svårigheter, att statens järnvägars kassa icke fått pensionsåldern utsträckt till 21 år. Kassan har länge velat ha en sådan ändring, och jag har själv varit med i en reglementskommitté i statens järnvägars </w:t>
      </w:r>
      <w:r>
        <w:rPr>
          <w:b/>
        </w:rPr>
        <w:t>änkeoch²</w:t>
      </w:r>
      <w:r>
        <w:rPr>
          <w:b w:val="0"/>
        </w:rPr>
        <w:t xml:space="preserve"> pupillkassa, där vi föreslogo barnpension under 21 år. Detta förslag antogs av fullmäktige och gick sedan till Kungl. Maj:t, och icke blott den gången, utan flera gånger har kassan gjort sådana framställningar om utsträckning av pensionsåldern hos Kungl. Maj:t. Jag vädjar till herr Hamrin — han kanske inte är inne i kammaren — men han känner till det. Jag har själv varit med om att uppvakta honom, och direktionen och fullmäktige för kassan har skrivit till honom om denna förändring i reglementet. Jag vädjar också i detta avseende till statsrådet Wigforss. Han känner också mycket väl till både uppvaktningar och skrivelser till Kungl. Maj:t, och han har ju också föreslagit, att alla skulle få barnpensionsåldern satt till 21 år, men utskottet har sprungit ifrån det förslaget. Kan detta vara rättvist, när statens järnvägars </w:t>
      </w:r>
      <w:r>
        <w:rPr>
          <w:b/>
        </w:rPr>
        <w:t>änkeoch²</w:t>
      </w:r>
      <w:r>
        <w:rPr>
          <w:b w:val="0"/>
        </w:rPr>
        <w:t xml:space="preserve"> pupillkassa har begärt denna förändring i så många år och då Kungl. Maj:t uppskjutit saken endast med tanke på att denna kassa, varom vi nu skola besluta i dag, skulle komma till stånd? Det är ingenting annat, som lagt hinder i vägen för att statens järnvägars befattningshavares barn också fått pensioneras till 21 års ålder.</w:t>
        <w:br/>
        <w:br/>
        <w:t>Under sådana förhållanden kan jag, herr talman, icke finna, att det kan vara rättvist att bifalla utskottets förslag i detta avseende. Jag vill inte säga, att utskottet menat något särskilt ont med sin sänkning, men jag tror, att utskottet icke haft kännedom om det föregående, och jag tycker, att det blir en mycket, mycket stor orättvisa gentemot statens järnvägars befattningshavare och deras blivande efterlevande, om de nuvarande befattningshavarnas barn skola få en pensionsålder av 19 år, men de andra båda institutionernas nuvaa befattningshavare få behålla en pensionsålder för efterlevande barn upp till 21 år.</w:t>
        <w:br/>
        <w:br/>
        <w:t>Det står dessutom på sid. 28 i utskottets utlåtande i den uppgörelse, som är gjord av de sakkunniga på Kungl. Maj:ts inrådan: » Beträffande envar vid övertagandet i statens järnvägars tjänst kvarstående delägare i kassan, för vilken huvudbestämmelserna i kassans reglemente (ej övergående stadganden) gälla,</w:t>
        <w:br/>
        <w:br/>
        <w:t>och vilken ej gjort anmälan enligt 9 mom. här nedan, skola bestämmelserna i det förslag till allmänt familjepensionsreglemente, som framlagts för innevarande års riksdag genom proposition nr 201, från övertagandet bliva tilllämpliga...» Och propositionen nr 201 gällde civilstaten och telegrafverket, och sedan har det kommit en proposition om att statens järnvägars befattningshavare skulle få familjepension efter enahanda grunder. Uppgörelse har ju skett mellan kassorna och statens företrädare, och de uppgörelserna ha varit svåra nog att träffa. Frågan är då om man inte riskerar, att allt detta går sönder, om man springer ifrån eller avslår den generella uppgörelse som propositionen nr 201 avser. Jag vet inte hur fullmäktige i statens järnvägars pensionskassa komma att ställa sig till utskottsförslaget, om det blir antaget, men de ha dock en viss rätt att säga, att de inte vilja gå med på det, eftersom varken statens löften vid förhandlingarna med kassan eller vad som står i överenskommelsen med statens järnvägar därigenom har uppfyllts. Det kanske kommer att bli svårt att bemästra den därvid uppkomna situationen. När det verkligen träffas en överenskommelse, som i övrigt godtagits av bägge parterna, tycker jag inte, att utskottet skall föreslå en sådan ändring, som den utskottet föreslår i 2 $ allmänna pensionsreglementet, gentemot Kungl. Maj:ts förslag. Då ändringen är av rätt obetydligt ekonomisk innebörd, har jag all anledning att vädja till kammaren att bifalla Kungl. Maj:ts förslag till formulering av 2 8. Vid den matematiska utredning, som skall ske vid statens övertagande av de nuvarande pensionskassorna, måste man beträffande statens järnvägars pensionskassa räkna med åldersgränsen 19 år för barnpensioneringen i stället för den av Kungl. Maj:t föreslagna åldersgränsen 21 år. Det betyder visserligen, att statens järnvägars pensionskassa får en större slant över, om man räknar med 19 årsåldern såsom gränsålder för barnpensionerna, men jag anser i alla fall, att fördelen med att kunna räkna med 21 år såsom gränsålder är så stor, att den omständigheten, att statens järnvägars familjepensionskassa som sådan skulle få behålla litet mera pengar, inte uppväger fördelen av att kunna räkna med likvärdiga förhållanden beträffande barnpensionerna för de tre ifrågavarande institutionerna, statens järnvägars, civilstatens och telegrafverkets pensionskassor.</w:t>
        <w:br/>
        <w:br/>
        <w:t>Jag vädjar till kammarens ledamöter att beakta detta och att icke genom ett bifall till utskottets förslag på denna punkt för en ur statens synpunkt obetydlig men ur pensionstagarnas synpunkt mycket viktig detalj riskera, att hela frågan faller eller att det föreslagna reglementet går sönder i tillämpningen, när man har haft så mycket besvär för att få denna gemensamma kassa ordnad, vilket jag väl känner till. Då skall man inte antaga en bestämmelse, som i många avseenden kommer att verka orättvis. Ett sådant beslut skulle säkerligen av statens järnvägars personal komma att betraktas såsom en stor orättvisa mot dem i jämförelse med de två andra personalgrupper, som också skulle ingå i den föreslagna pensionskassan.</w:t>
        <w:br/>
        <w:br/>
        <w:t>Jag ber därför, herr talman, att få yrka bifall till $ 2 av förslaget till allmänna familjepensionsreglementet med den formulering, som av Kungl. Maj:t föreslagits.</w:t>
      </w:r>
    </w:p>
    <w:p>
      <w:pPr>
        <w:pStyle w:val="Heading2"/>
      </w:pPr>
      <w:r>
        <w:t>2. Harald Åkerberg (Socialdemokraterna, man)</w:t>
      </w:r>
    </w:p>
    <w:p>
      <w:r>
        <w:rPr>
          <w:b w:val="0"/>
        </w:rPr>
        <w:t>Herr talman! Den föreliggande frågan är ju mycket invecklad. Jag vet inte, om kammarens ledamöter av herr Bäcklunds anförande ha fått någon riktig uppfattning om vad saken gäller.</w:t>
        <w:br/>
        <w:br/>
        <w:t>Såsom framgår av bankoutskottets utlåtande, om man läser det noggrant, har ju utskottet tillstyrkt den kungl. propositionen med huvudsakligen tre ändringar. Den ena gäller den punkt, som herr Bäcklund här har vidrört, att ut-</w:t>
        <w:br/>
        <w:br/>
        <w:t>Beträffande det av herr Bäcklund framdragna fallet vill jag för min del meddela, att jag rent generellt var anhängare av bibehållandet av den åldersgräns för barnpensionens utgående, som föreslogs i den kungl. propositionen, nämligen 21 år, och det var min mening att i utskottet anteckna en reservation på denna punkt. Förhållandena utvecklade sig emellertid så, att detta inte blev möjligt. Det fanns i utskottet en mycket stark betänksamhet mot den kungl. propositionen och mot att nu fatta ett positivt beslut i frågan, på grund av att man inte ansåg sig ha möjlighet att överblicka beslutets ekonomiska konsekvenser. Utskottet har emellertid gjort åtskilliga utredningar, som ju i vissa stycken hava klarlagt dessa konsekvenser, men jag vill inte säga, att försäkringsmatematikerna hava lyft på alla de slöjor, som ligga över detta mysterium. Detta gjorde att det alltjämt på denna punkt förefanns mycket stark betänksamhet inom utskottet. Det framställdes också yrkande på att utskottet skulle avstyrka propositionen eller under alla förhållanden hemställa om uppskov med frågans avgörande till ett senare år. Då jag har den uppfattningen, att detta skulle vara betänkligare än att rucka på en eller annan punkt av detaljerna, har jag i utskottet, för övrigt tillsammans med andra inom utskottet, som voro anhängare av Kungl. Maj:ts förslag i de flesta delar, anslutit mig till en sådan uppgörelse.</w:t>
        <w:br/>
        <w:br/>
        <w:t xml:space="preserve">Vad nu åldersgränsen för barnpensioneringen beträffar, mötte förslaget om 21 år ett mycket starkt motstånd i utskottet. Det framhölls, att en människa vid över 20 års ålder normalt bör anses hava kommit in i förvärvslivet och i de flesta fall kanske också redan har sysselsättning och att alltså staten inte skulle underhålla dessa människor som hade inkomst av sitt förvärvsarbete. Det kunde t. ex. inträffa, att en </w:t>
      </w:r>
      <w:r>
        <w:rPr>
          <w:b/>
        </w:rPr>
        <w:t>kvinna¹</w:t>
      </w:r>
      <w:r>
        <w:rPr>
          <w:b w:val="0"/>
        </w:rPr>
        <w:t>, som var gift och hade barn, ändå skulle få barnpension själv av staten. Jag vill öppet förklara, att jag inte anser dessa argument hållbara. Man kan ju draga fram sådana exempel, som höra till undantagen, men det är särskilt inom tjänstemannafamiljer ofta så, att barnens uppfostran och utbildning inte fullbordats, förrän de kommit över 21-årsåldern. Det visade sig emellertid inte möjligt att i utskottet komma fram till en uppgörelse på denna punkt. Olika yrkanden framställdes, och de, som ivrigast kritiserat propositionens förslag i denna del, yrkade på att gränsen för barnpensioneringen skulle sättas till 18 år. Olika kompromissyrkanden på 19 år och 20 år framställdes också. Utskottet stannade vid åldersgränsen 19 år:</w:t>
        <w:br/>
        <w:br/>
        <w:t>Det kanske var många av kammarens ledamöter, som av herr Bäcklunds yttrande fingo den uppfattningen, att utskottets förslag innebär, att olika bestämmelser skola gälla för all framtid inom olika av förslaget berörda kårer. Så är icke förhållandet. Utskottets yrkande innebär ju, att gränsåldern för barnpensionering principiellt fixeras till 19 år, men att inom de kårer, i vilkas pensionskassor en högre ålder nu finnes stipulerad, de nuvarande medlemmarna av kassorna skola ha rätt att uppbära nu utgående förmåner. Det är beklagligt, att den nuvarande personalen i statens järnvägar därigenom kommit att ställas i en undantagsställning i jämförelse med de båda andra kårernas personal, men det är ju ett förhållande, som efter hand kommer att</w:t>
        <w:br/>
        <w:br/>
        <w:t xml:space="preserve">För att belysa, hur långt fram i tiden en sådan bestämmelse kan sträcka sina verkningar, erinrades det i det sammanhanget i utskottet om att det nere i Frankrike, eller om det nu var i England, skulle finnas en </w:t>
      </w:r>
      <w:r>
        <w:rPr>
          <w:b/>
        </w:rPr>
        <w:t>änka²</w:t>
      </w:r>
      <w:r>
        <w:rPr>
          <w:b w:val="0"/>
        </w:rPr>
        <w:t xml:space="preserve">, vars man hade varit trumslagarpojke i slaget vid Waterloo och gift sig vid 80 års ålder med </w:t>
      </w:r>
      <w:r>
        <w:rPr>
          <w:b/>
        </w:rPr>
        <w:t>henne²</w:t>
      </w:r>
      <w:r>
        <w:rPr>
          <w:b w:val="0"/>
        </w:rPr>
        <w:t xml:space="preserve"> -då </w:t>
      </w:r>
      <w:r>
        <w:rPr>
          <w:b/>
        </w:rPr>
        <w:t>hon²</w:t>
      </w:r>
      <w:r>
        <w:rPr>
          <w:b w:val="0"/>
        </w:rPr>
        <w:t xml:space="preserve"> var en 16-årig </w:t>
      </w:r>
      <w:r>
        <w:rPr>
          <w:b/>
        </w:rPr>
        <w:t>flicka²</w:t>
      </w:r>
      <w:r>
        <w:rPr>
          <w:b w:val="0"/>
        </w:rPr>
        <w:t xml:space="preserve">. </w:t>
      </w:r>
      <w:r>
        <w:rPr>
          <w:b/>
        </w:rPr>
        <w:t>Hon²</w:t>
      </w:r>
      <w:r>
        <w:rPr>
          <w:b w:val="0"/>
        </w:rPr>
        <w:t xml:space="preserve"> uppbär ännu statspension efter honom. Sådant kan ju inträffa, men man bör inte låta sig avskräckas av sådana ytterlighetsfall från att fatta ett beslut, som i det stora hela är tillfredsställande men som i vissa undantagsfall kan leda till rena orimligheter.</w:t>
        <w:br/>
        <w:br/>
        <w:t>Herr Bäcklund frågade, om det fanns någon rättvisa i denna proposition. Jag vill för min del svara, att jag tvivlar på att det finns möjlighet att ordna denna sak utan att orättvisa i en eller annan punkt upnstår.</w:t>
        <w:br/>
        <w:br/>
        <w:t>Jag har, som sagt var, för min del varit anhängare av att den i den kungl. propositionen föreslagna åldern vidhålles generellt över hela linjen, men jag har ansett det vara av så stor vikt, att detta pensionsreglemente genomfördes och beslutades i år, att jag har frångått min uppfattning i den detaljen. Det har också varit min önskan, att så många som möjligt av utskottets ledamöter skulle kunna samla sig kring det förslag, som utskottet skulle framlägga, för att ett positivt beslut i år därigenom skulle garanteras. Jag tror nu inte, att herr Bäcklunds förslag har någon utsikt att bliva antaget, men skall man riva upp en strid på den punkten, riskerar man, att hela frågan faller, och om så sker, tror jag inte, att den faller framåt.</w:t>
        <w:br/>
        <w:br/>
        <w:t>Jag vill dessutom påpeka en sak, som inte gäller de gamla pensionärerna, utan de nytillkommande, nämligen att utskottet har genomfört en sänkning av pensionsavdragen som motsvarar den sänkning av barnpensionsåldern, som utskottet föreslår. Det åberopas ju som skäl för den högre åldern, att befattningshavarna strängt taget betala denna höjning själva. Men man kan Ju också vända på steken och säga, att visserligen blir det en lägre barnpensionsålder, men å andra sidan blir det ju också en motsvarande lättnad för befattningshavarna, eftersom de icke behöva betala så mycket som en högre pensionsålder skulle motivera.</w:t>
        <w:br/>
        <w:br/>
        <w:t>Jag tror, som sagt, att det icke finns någon annan möjlighet att föra denna sak i hamn i år, än att kamrarna besluta i enlighet med utskottets förslag. Det kan råda delade meningar rörande förslagets detaljer, och det kan leda till inkonsekvenser, som av en eller annan kår kunna uppfattas såsom orättvisor — sådant kan man inte komma ifrån — men om ett beslut skall fattas i denna fråga i år, bör detta och måste detta fattas i enlighet med utskottets hemstil- Ant, Varför Jag ber att få yrka bifall till utskottets hemställan i den föredragna punkten.</w:t>
      </w:r>
    </w:p>
    <w:p>
      <w:pPr>
        <w:pStyle w:val="Heading2"/>
      </w:pPr>
      <w:r>
        <w:t>3. Helge Bäcklund (Socialdemokraterna, man)</w:t>
      </w:r>
    </w:p>
    <w:p>
      <w:r>
        <w:rPr>
          <w:b w:val="0"/>
        </w:rPr>
        <w:t>Herr talman! Jag har inte kritiserat utskottet i något annat hänseende än vad beträffar ändringen av åldersgränsen för pensionen till befattningshavare och deras efterlevande, vilken gräns föreslagits olika för de olika institutionerna. Jag tycker, att utskottets ärade ordförande skulle kunna bära denna kritik med jämnmod. När man rör så litet, som Jag nu gjort, vid en sak, som får praktiskt orättvisa konsekvenser, tycker Jag, att ingen skulle kunna ta sig illa vid av den saken. Förslaget kan gå igenom här i kammaren, fastän det är orättvist, men det kommer naturligtvis aldrig att kunna uppfattas annat än som orättvist av statens järnvägars personal, som skall ställas i en särställning. Statens järnvägars befattningshavare betala samma</w:t>
        <w:br/>
        <w:br/>
        <w:t>Vi hörde ju nu av utskottets ordförande, att utskottets förslag tillkommit genom en kompromiss. Kompromisser kunna ibland bliva bra, men bliva ibland ganska dåliga, och i fråga om den av mig berörda detaljen har kompromissen blivit mycket dålig. Jag tror inte, att man i utskottet kunnat sätta sig in i, hur förslaget skall komma att verka. Jag tror inte, när herr Åkerberg kommer hem till Örebro och träffar statstjänarna där, att dessa, inte ens de, som tillhöra civilstaten och telegrafverket och som få fördel av detta förslag, och särskilt inte de som tillhöra statens järnvägars personal, skola säga till herr Åkerberg, att de anse, att det är riktigt, att de ställts olika i familjepensionsavseende.</w:t>
        <w:br/>
        <w:br/>
        <w:t xml:space="preserve">Utskottets ärade ordförande yttrade, att staten inte vill vara med om att betala barnpensioner till personer i åldern 19—21 år. Vad är det för prat? Det är inte staten, som betalar, utan det är befattningshavarna, som med sina avgifter skola betala familjepensioneringen. Så har det varit hela tiden. Att staten i någon mån har bidragit till familjepensionskassornas upprättande och givit dem något mindre statsbidrag i en eller annan form, är visserligen sant, men det är befattningshavarna, som solidariskt, här liksom när det gäller annan pensionering, betala sina avgifter och pensioneringar. Då tycker jag, att när befattningshavarna vid statens järnvägar betala samma avgifter som andra statens befattningshavare, böra de ha precis samma förmåner som de andra. Efter övergångstiden slut, herr talman, må gränsen sättas vid 19 år — å la bonne heure, det kan inte hjälpas. Men jag tycker, att statens järnvägars befattningshavare inte skola nu under övergångstiden, som blir lång, komma i en annan ställning än de båda andra </w:t>
      </w:r>
      <w:r>
        <w:rPr>
          <w:b/>
        </w:rPr>
        <w:t>änkeoch²</w:t>
      </w:r>
      <w:r>
        <w:rPr>
          <w:b w:val="0"/>
        </w:rPr>
        <w:t xml:space="preserve"> pupillkassornas delägare och deras efterlevande. Den rena rättfärdighetskänslan fordrar i detta fall, att man behandlar alla befattningshavare, som skola försäkra sina efterlevande i den statliga pensionskassan, på samma sätt.</w:t>
      </w:r>
    </w:p>
    <w:p>
      <w:pPr>
        <w:pStyle w:val="Heading2"/>
      </w:pPr>
      <w:r>
        <w:t>4. Gustaf Ehrnberg (–, man)</w:t>
      </w:r>
    </w:p>
    <w:p>
      <w:r>
        <w:rPr>
          <w:b w:val="0"/>
        </w:rPr>
        <w:t>Jag ber att få vitsorda riktigheten av den uppgift, som utskottets ärade ordförande lämnade, nämligen att det var en nödvändig förutsättning för bifall till utskottets nu föreliggande förslag, att man inom utskottet enades om de bestämmelser, som däri influtit, skiljande sig från vad Kungl. Maj:t föreslagit. Men utöver vad utskottets ordförande har nämnt ber jag att få yttra några ord med anledning av herr Bäcklunds anförande.</w:t>
        <w:br/>
        <w:br/>
        <w:t xml:space="preserve">När herr Bäcklund säger, att inte staten betalar någonting för dessa pensioner, är det nog en sanning med mycket stor modifikation. Staten betalar för närvarande årligen 3,220,000 kronor i bidrag till civilstatens </w:t>
      </w:r>
      <w:r>
        <w:rPr>
          <w:b/>
        </w:rPr>
        <w:t>änkeoch²</w:t>
      </w:r>
      <w:r>
        <w:rPr>
          <w:b w:val="0"/>
        </w:rPr>
        <w:t xml:space="preserve"> pupillkassa, telegrafverkets </w:t>
      </w:r>
      <w:r>
        <w:rPr>
          <w:b/>
        </w:rPr>
        <w:t>änkeoch²</w:t>
      </w:r>
      <w:r>
        <w:rPr>
          <w:b w:val="0"/>
        </w:rPr>
        <w:t xml:space="preserve"> pupillkassa, statens järnvägars </w:t>
      </w:r>
      <w:r>
        <w:rPr>
          <w:b/>
        </w:rPr>
        <w:t>änkeoch²</w:t>
      </w:r>
      <w:r>
        <w:rPr>
          <w:b w:val="0"/>
        </w:rPr>
        <w:t xml:space="preserve"> pupillkassa och tullstatens pensionsinrättning m. fl. Det är således en ganska avsevärd summa, som staten betalar i sådana bidrag.</w:t>
        <w:br/>
        <w:br/>
        <w:t>Man får dessutom betänka, att det för närvarande är enskilda inrättningar, som ha hand om och äro ägare till kassorna och således bestämma, under vilka villkor dess delägare skola få åtnjuta pension. Då förstår man gott, att delägarna söka tillförsäkra sina närmaste de allra största ekonomiska förmåner. Det blir en annan sak, när staten skall överta hela pensioneringen och denna således blir en statsangelägenhet. Då måste naturligtvis staten se till, att de</w:t>
        <w:br/>
        <w:br/>
        <w:t>Man får väl anse, att en ålder av 19 år är den allra högsta man kan gå till i fråga om barnpensionerna. Man torde kunna förutsätta, att alla vid 19 års ålder åtminstone ha avslutat sin skolutbildning, och flertalet av de unga har redan vid den åldern börjat ägna sig åt förvärvsarbete. Vi skola nämligen betänka, att det nu också gäller att införa en familjepensionering för arbetarna, och man kan inte fastslå olika bestämmelser för olika grupper av pensionstagare. Därigenom att staten nu redan från och med nästa år övertar familjepensioneringen för arbetare i statens tjänst, ikläder sig staten ansvarighet för ett belopp av 27 miljoner kronor, en ganska avsevärd summa. Det är väl inte så, att staten skall betala ut detta belopp, men genom att man redan nu går in för en familjepensionering för arbetarna och för extra ordinarie befattningshavare, kan staten sägas ha ställt sig ansvarig för det av mig nu nämnda beloppet, och det är, synes det mig, en ganska avsevärd tunga, som staten därigenom tar på sig.</w:t>
        <w:br/>
        <w:br/>
        <w:t xml:space="preserve">I fråga om den kassa, som herr Bäcklund särskilt uppehållit sig vid i sitt inlägg, nämligen statens järnvägars </w:t>
      </w:r>
      <w:r>
        <w:rPr>
          <w:b/>
        </w:rPr>
        <w:t>änkeoch²</w:t>
      </w:r>
      <w:r>
        <w:rPr>
          <w:b w:val="0"/>
        </w:rPr>
        <w:t xml:space="preserve"> pupillkassa, förhåller det sig så, att åldersgränsen för barn, vilka därifrån få åtnjuta pension, för närvarande är fastslagen till 18 år. Genom de nu föreslagna bestämmelserna erhåller man alltså den förmånen, att åldersgränsen utsträckes till 19 år.</w:t>
        <w:br/>
        <w:br/>
        <w:t>När det gäller frågan om att fastställa en rimlig åldersgräns för barnpensionering, kan man naturligtvis också peka på att det i lag är fastställt, att föräldrar ha underhållsoch uppfostringsskyldighet gentemot sina barn, till dess de nått 16 års ålder. Då kan man väl inte finna det märkvärdigt, att staten icke vill lämna bidrag till pensioner åt barn, som äro över 19 år gamla, en högre ålder än den, som fastställts som gräns för föräldrars skyldighet att bekosta uppfostran och underhåll för sina barn.</w:t>
        <w:br/>
        <w:br/>
        <w:t>Jag finner för min del, att fullgiltiga skäl tala för utskottets förslag, och Jag tillåter mig att hemställa om bifall till detsamma.</w:t>
      </w:r>
    </w:p>
    <w:p>
      <w:pPr>
        <w:pStyle w:val="Heading2"/>
      </w:pPr>
      <w:r>
        <w:t>5. Ernst Wigforss (Socialdemokraterna, man)</w:t>
      </w:r>
    </w:p>
    <w:p>
      <w:r>
        <w:rPr>
          <w:b w:val="0"/>
        </w:rPr>
        <w:t>Jag hade inte tänkt ta till orda i denna fråga, då utskottet praktiskt taget varit enhälligt, men då herr Bäcklund tagit upp diskussionen, är det kanske nödvändigt att förklara, varför jag har ansett mig kunna acceptera det slut, till vilket utskottet kommit.</w:t>
        <w:br/>
        <w:br/>
        <w:t>Det är uppenbart, att man kan instämma med herr Bäcklund i princin. Hela tendensen har nämligen under senare tid gått i den riktningen, att åldern för inträde i förvärvsarbete har stigit. I Kungl. Maj:ts proposition hade också förutsatts, att åldersgränsen skulle bestämmas till 21 år och icke, såsom här är föreslaget, till 19 år. Men när detta förslag väckte betänkligheter, har jag icke ansett, att den punkten är av sådan betydelse, att den borde föranleda tveksamhet beträffande hela denna stora reforms genomförande. Det föreliggande förslaget innebär nämligen så betydande förbättringar av familjepensioneringen, att det är i högsta grad önskvärt, att det genomföres så snabbt som möjligt. Även ett uppskov med genomförandet av reformen skulle verka så förryckande på hela den reglering av löner och andra därmed sammanhängande frågor, som nu snart förestår till avgörande, att de allra starkaste skäl tala för att man bör fatta beslut i denna fråga just nu.</w:t>
        <w:br/>
        <w:br/>
        <w:t>Det, som övervunnit mina betänkligheter mot att ansluta mig till utskottets slutsatser, är, att uppgörelserna med kassorna varit så förmånliga för dessa. Det gäller inte minst statens järnvägars kassa, som fått behålla ett överskott av den omfattning, att det, såvitt jag förstår, icke bör möta några hinder för denna kvarstående enskilda kassa att själv bekosta de förbättringar i de av</w:t>
        <w:br/>
        <w:br/>
        <w:t>Kungl. Maj:t föreslagna pensionsförmånerna, som man eventuellt finner önskvärda.</w:t>
        <w:br/>
        <w:br/>
        <w:t>Jag vill därför bara uttala den förhoppningen, att om kammaren nu bifaller utskottsförslaget, det ifrån järnvägsmännens sida inte skall möta några betänkligheter att trots dessa förändringar i Kungl. Maj:ts förslag stå fast vid den överenskommelse, som preliminärt har träffats.</w:t>
      </w:r>
    </w:p>
    <w:p>
      <w:pPr>
        <w:pStyle w:val="Heading2"/>
      </w:pPr>
      <w:r>
        <w:t>6. Adolf Lindgren (–, man)</w:t>
      </w:r>
    </w:p>
    <w:p>
      <w:r>
        <w:rPr>
          <w:b w:val="0"/>
        </w:rPr>
        <w:t xml:space="preserve">Jag vill hemställa till kammarens ledamöter, huruvida det kan vara rätt och riktigt, att statens tjänstemäns och befattningshavares efterlevande barn skola åtnjuta statspension ända till 21 års ålder. Om vi se oss litet omkring i livet, måste vi väl säga, att en sådan ordning inte kan vara lämplig eller berättigad. Hur många 19- och 20-åringar av båda könen finnas inte, som t. ex. inom affärsvärlden — det område jag bäst känner till — vunnit anställning och en god utkomst som butiksoch kontorsbiträden. Se vi vidare på förhållandena inom industrien — särskilt textilindustrien — finna vi, att ett mycket stort antal, ja, tusentals personer — oftast </w:t>
      </w:r>
      <w:r>
        <w:rPr>
          <w:b/>
        </w:rPr>
        <w:t>kvinnor¹</w:t>
      </w:r>
      <w:r>
        <w:rPr>
          <w:b w:val="0"/>
        </w:rPr>
        <w:t xml:space="preserve"> — i 18—20-årsåldern, där ha anställning och förtjäna sitt uppehälle.</w:t>
        <w:br/>
        <w:br/>
        <w:t>Jag vill fråga herr Bäcklund, hur han tror, att personer i 19—20-årsåldern, som åtnjuta barnpension och komma till arbetsplatserna för att där söka anställning i tävlan med andra, som icke ha förmånen av barnpension, skola bli mottagna. Jag tror inte, att de bliva synnerligen välkomna. Det skulle i varje fall bli en ganska stor skillnad mellan inkomstbeloppen för å ena sidan dem, som ha pension och arbetslön, och å andra sidan dem, som endast ha arbetslön.</w:t>
        <w:br/>
        <w:br/>
        <w:t>Jag vill påstå, att ungdomen redan i 19- och 20-årsåldern har mycket goda möjligheter att försörja sig inom vissa industrier och därjämte inom handel, hantverk och andra näringsgrenar, icke minst inom jordbruket. En enda kategori, för vilken den högre åldersgränsen kunde vara berättigad, utgöres av dem, som gå studievägen. Men det är dock i förhållande till det hela ett mycket ringa antal personer, som fortsätta studierna efter, låt mig säga, 19- eller 20-årsåldern, och för dem kan man inte genomföra någon särskild lagstiftning i detta sammanhang. Den saken får ordnas på annat sätt. Eljest skulle jag som sagt inte haft något emot att en högre åldersgräns för erhållande av barnpension bestämdes för dem.</w:t>
        <w:br/>
        <w:br/>
        <w:t>För övrigt vill jag fråga, vad det är för orättvisor, som herr Bäcklund talar om och som skulle drabba statens järnvägars tjänstemän och deras efterlevande. De ha ju aldrig haft och ha inte den dag som är en högre åldersgräns för barnpensioner än 18 år. Och denna åldersgräns skall nu höjas till 19 år, men herr Bäcklund djärves förutsätta, att riksdagen nu skall höja den ända till 21 år.</w:t>
        <w:br/>
        <w:br/>
        <w:t>Jag vill inte underlåta att säga, herr talman, att jag har stora betänkligheter i många avseenden, när det gäller den framlagda propositionen. Bland annat kan erinras om att frågan om vissa engångskostnader, som uppstå under övergångstiden, icke är klarlagd i propositionen. Utskottet har gjort allvarliga försök att få klarhet därom, och det har därför dragit ut på behandlingen av ärendet ända till de allra sista dagarna. Men det har inte varit möjligt att komma till något positivt resultat. Man kan alltså inte ens i dag, då riksdagen skall fatta beslut i frågan, ange, hur stora dessa kostnader komma att bli.</w:t>
        <w:br/>
        <w:br/>
        <w:t>Det skulle säkerligen ha varit välbetänkt, om utskottet hade yrkat avslag på propositionen i år och anhållit om en bättre utredning av frågan till ett annat år. Men då man inom utskottet något så när kommit tillrätta med en del detaljer och det dessutom inte fanns någon möjlighet att kunna genom-</w:t>
        <w:br/>
        <w:br/>
        <w:t xml:space="preserve">En nyhet i propositionen är införandet av änklingspensioner. Hädanefter skall en man, som är gift med en </w:t>
      </w:r>
      <w:r>
        <w:rPr>
          <w:b/>
        </w:rPr>
        <w:t>kvinna¹</w:t>
      </w:r>
      <w:r>
        <w:rPr>
          <w:b w:val="0"/>
        </w:rPr>
        <w:t xml:space="preserve">, vilken har anställning i statens tjänst — det finns ju oändligt många sådana, bl. a. vid telegrafverket — bli pensionsberättigad efter </w:t>
      </w:r>
      <w:r>
        <w:rPr>
          <w:b/>
        </w:rPr>
        <w:t>henne²</w:t>
      </w:r>
      <w:r>
        <w:rPr>
          <w:b w:val="0"/>
        </w:rPr>
        <w:t>. Jag har med min inställning litet svårt att förstå att CE kan vara lämpligt, men har härutinnan icke lyckats åvägabringa någon ändring.</w:t>
        <w:br/>
        <w:br/>
        <w:t xml:space="preserve">Det är ju så, herr talman, att </w:t>
      </w:r>
      <w:r>
        <w:rPr>
          <w:b/>
        </w:rPr>
        <w:t>kvinnor¹</w:t>
      </w:r>
      <w:r>
        <w:rPr>
          <w:b w:val="0"/>
        </w:rPr>
        <w:t xml:space="preserve"> ha rättighet att gifta sig vid 18 års ålder utan särskild licens. Sådana giftermål förekomma i rätt stor utsträckning. I ett dylikt äktenskap kan </w:t>
      </w:r>
      <w:r>
        <w:rPr>
          <w:b/>
        </w:rPr>
        <w:t>hustrun²</w:t>
      </w:r>
      <w:r>
        <w:rPr>
          <w:b w:val="0"/>
        </w:rPr>
        <w:t>, om åldersgränsen för barnpension sattes till 21 år, ha tre egna barn och ändå själv åtnjuta barnpension. Kan det vara riktigt?</w:t>
        <w:br/>
        <w:br/>
        <w:t>Herr talman, jag yrkar bifall till utskottets förslag.</w:t>
      </w:r>
    </w:p>
    <w:p>
      <w:pPr>
        <w:pStyle w:val="Heading2"/>
      </w:pPr>
      <w:r>
        <w:t>7. Helge Bäcklund (Socialdemokraterna, man)</w:t>
      </w:r>
    </w:p>
    <w:p>
      <w:r>
        <w:rPr>
          <w:b w:val="0"/>
        </w:rPr>
        <w:t xml:space="preserve">Herr talman! Jag hade väntat mig, att herr statsrådet skulle ha svarat på min direkta fråga, om det inte var riktigt, att statens järnvägars </w:t>
      </w:r>
      <w:r>
        <w:rPr>
          <w:b/>
        </w:rPr>
        <w:t>änkeoch²</w:t>
      </w:r>
      <w:r>
        <w:rPr>
          <w:b w:val="0"/>
        </w:rPr>
        <w:t xml:space="preserve"> pupillkassa under många år vid skilda tillfällen både uppvaktat och skrivit till Kungl. Maj:t för att få en bestämmelse om 21-årsåldern som gräns och en hel del andra förändringar införda 1 sitt reglemente. Men Kungl. Maj:t har skjutit på saken, därför att vi skulle få ett gemensamt familjepensionsreglemente, som gällde för alla statstjänares efterlevande. Herr statsrådet ville väl inte svara på den saken, men jag tycker, att det hade varit riktigt, om han gjort det, ty frågan ligger till på det sätt jag sagt. Detta är anledningen till att statens järnvägars personals efterlevande barn komma att få uppbära pension till 19 års ålder, medan andra få pension till 21 års ålder. Anledningen är, såsom jag förut framhållit, icke något bristande ekonomiskt underlag från statens järnvägars </w:t>
      </w:r>
      <w:r>
        <w:rPr>
          <w:b/>
        </w:rPr>
        <w:t>änkeoch²</w:t>
      </w:r>
      <w:r>
        <w:rPr>
          <w:b w:val="0"/>
        </w:rPr>
        <w:t xml:space="preserve"> pupillkassa.</w:t>
        <w:br/>
        <w:br/>
        <w:t xml:space="preserve">Till herr Lindgren vill jag säga, att det inte är medan befattningshavaren finns i livet som hans barn skola få pension, utan det är, när han är död och hans i många fall fattiga </w:t>
      </w:r>
      <w:r>
        <w:rPr>
          <w:b/>
        </w:rPr>
        <w:t>änka²</w:t>
      </w:r>
      <w:r>
        <w:rPr>
          <w:b w:val="0"/>
        </w:rPr>
        <w:t xml:space="preserve"> sitter där med barnen eller när barnen stå utan både far och </w:t>
      </w:r>
      <w:r>
        <w:rPr>
          <w:b/>
        </w:rPr>
        <w:t>mor²</w:t>
      </w:r>
      <w:r>
        <w:rPr>
          <w:b w:val="0"/>
        </w:rPr>
        <w:t>. De kunna nog ha det svårt även när barnen blivit 19 och 20 år. Jag har ingalunda riktat någon kritik mot att utskottet har föreslagit en åldersgräns av 19 år. Men jag har kritiserat, att man har stadgat en särskild övergångsbestämmelse för civilstaten och telegrafverkets kassor, vilken jag anser i och för sig vara riktig, men icke låtit den gälla även för statens järnvägars kassa. Det är på den punkten jag efterlyser rättvisan i detta förslag. Men jag förstår, att med en sådan inställning, som i synnerhet herr Lindgren har till hela detta spörsmål, är det naturligtvis mycket svårt att överhuvud taget skapa någon rättvisa och likställighet.</w:t>
        <w:br/>
        <w:br/>
        <w:t>Det kunde vara åtskilligt att säga även beträffande herr Ehrnbergs anförande, men jag skall inte uppta tiden därmed. Jag ber att få vidhålla mitt yrkande, herr talman.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782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