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786</w:t>
      </w:r>
    </w:p>
    <w:p>
      <w:r>
        <w:rPr>
          <w:b/>
        </w:rPr>
        <w:t xml:space="preserve">Datum: </w:t>
      </w:r>
      <w:r>
        <w:t>1937-02-03</w:t>
      </w:r>
    </w:p>
    <w:p>
      <w:r>
        <w:rPr>
          <w:b/>
        </w:rPr>
        <w:t xml:space="preserve">Kammare: </w:t>
      </w:r>
      <w:r>
        <w:t>Första kammaren</w:t>
      </w:r>
    </w:p>
    <w:p>
      <w:r>
        <w:rPr>
          <w:b/>
        </w:rPr>
        <w:t xml:space="preserve">Antal yttranden: </w:t>
      </w:r>
      <w:r>
        <w:t>8</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Carl Axel Reuterskiöld (Utan partibeteckning, man)</w:t>
      </w:r>
    </w:p>
    <w:p>
      <w:r>
        <w:rPr>
          <w:b w:val="0"/>
        </w:rPr>
        <w:t>Den grundlagstolkning, som den siste ärade talaren gjorde i fråga om behandlingen av kungl. propositioner i utrikesärenden, att de skola, när de behandlas av utrikesnämnden, anses bli behandlade i utrikesutskottet, kan jag under inga omständigheter biträda. Vid behandlingen i utrikesnämnden, innan en kungl. proposition är bestämd och utformad, är det överläggning om lämpligheten av en sådan och vad den möjligen skall innehålla. Men sådan den föreligger i sitt slutliga skick såsom verklig proposition, har den icke därigenom behandlats av något utrikesutskott.</w:t>
        <w:br/>
        <w:br/>
        <w:t>Beträffande spörsmålet i övrigt skall jag här inte upptaga tiden med några vidlyftigare utläggningar, det är överflödigt. Någon motsättning, någon dualism mellan utrikesutskottet och utrikesnämnden — om förslaget genomföres — finns icke, kan icke finnas, eftersom båda komma att bestå av samma personer. Några svårigheter i avseende å tillsättningen finnas icke, eftersom enligt det vilande förslaget utrikesnämndens vid denna riksdag valda ledamöter sitta tills utrikesutskott blivit valt. Den gamla bestämmelsen, att valet skulle gälla till nästa riksdag, finns icke med i det vilande förslaget. När således val av utrikesutskott skett, har den gamla nämnden upphört att existera, men den finns kvar i samma form som förut såsom nämnd, vald, visserligen icke som nämnd, utan som utrikesutskott, men det är väl ingen hemlighet, att det utskott, som kommer att väljas, därest det vilande grundlagsförslaget antages, kommer att bli identiskt lika med nuvarande utrikesnämnden.</w:t>
        <w:br/>
        <w:br/>
        <w:t>Däremot finns, herr talman, en motsättning, ett dubbelförhållande mellan</w:t>
        <w:br/>
        <w:br/>
        <w:t>Men därtill kommer, att även om utrikesutskottet i regel icke skulle få så särdeles mycket att göra, är det ingen huvudsak, utan huvudsaken är, att det skall vara en säkerhetsventil, som finns, när den behövs, för ett intimare samarbete mellan Kungl. Maj:t och riksdagen. Man har försökt och hoppats kunna omändra utrikesnämnden till ett mera smidigt verktyg för detta ändamål, men det har visat sig ogörligt. Det går lätt att säga tulipanirosa, men det är ingen, som har kunnat göra den; och jag tror att detsamma är förhållandet här.</w:t>
        <w:br/>
        <w:br/>
        <w:t>Därför, om man anknyter till något av vad den föregående talaren anförde angående årets motioner om hithörande ting, så vill jag erinra om den, som rör Sveriges utträde ur Nationernas förbund. Jag undrar i själva verket, om icke en sådan fråga blir realiter bättre behandlad i ett utrikesutskott. Öch även om utrikesutskottet bara skulle ha den frågan — vilket ingen människa vet i den stund, som nu föreligger — vid denna riksdag, så är det tillräckligt betydelsefullt enligt min mening, såsom frågan utvecklats, att man därigenom, genom inrättandet av ett utrikesutskott, skall kunna möjliggöra ett intimare och smidigare samarbete mellan Kungl. Maj:t och riksdagen.</w:t>
        <w:br/>
        <w:br/>
        <w:t>Jag tillåter mig, herr talman, yrka bifall till det vilande förslaget.</w:t>
        <w:br/>
        <w:br/>
        <w:t>- Sedan överläggningen ansetts härmed slutad, gjordes enligt därunder förekomna yrkanden propositioner, först på antagande av det föreliggande grundlagsändringsförslaget samt vidare på dess förkastande; och förklarades den förra propositionen, som upprepades, vara med övervägande ja besvarad.</w:t>
        <w:br/>
        <w:br/>
        <w:t>huset, det vare sig kronprins, arvhuset, det vare sig kronprins, arv-</w:t>
        <w:br/>
        <w:br/>
        <w:t>furste eller furste, må gifta sig utan furste eller furste, må gifta sig, med</w:t>
        <w:br/>
        <w:br/>
        <w:t>arvsrätt till riket både för sig, barn tycke. Sker det ändock; have han för-</w:t>
        <w:br/>
        <w:br/>
        <w:t>och efterkommande. verkat arvsrätt till riket både för sig, barn och efterkommande.</w:t>
        <w:br/>
        <w:br/>
        <w:t xml:space="preserve">Prins av det kungl. huset må ej gifta sig utan Konungens vetskap och samtycke. Sker det ändock, have han förverkat arvsrätt till riket för sig, barn och efterkommande. Lag samma vare, om han, med eller utan Konungens vetskap och samtycke, tager till gemål enskild svensk eller utländsk mans </w:t>
      </w:r>
      <w:r>
        <w:rPr>
          <w:b/>
        </w:rPr>
        <w:t>dotter²</w:t>
      </w:r>
      <w:r>
        <w:rPr>
          <w:b w:val="0"/>
        </w:rPr>
        <w:t>. Dock vare honom ej för-</w:t>
        <w:br/>
        <w:br/>
        <w:t xml:space="preserve">Prins av det kungl. huset må ej gifta sig, med mindre Konungen, sedan statsrådets tankar inhämtats, därtill lämnat samtycke. Sker det ändock, have han förverkat arvsrätt till riket för sig, barn och efterkommande. Lag samma vare, om han, med eller utan sådant samtycke, tager till gemål enskild svensk mans </w:t>
      </w:r>
      <w:r>
        <w:rPr>
          <w:b/>
        </w:rPr>
        <w:t>dotter²</w:t>
      </w:r>
      <w:r>
        <w:rPr>
          <w:b w:val="0"/>
        </w:rPr>
        <w:t>.</w:t>
        <w:br/>
        <w:br/>
        <w:t>ment, att med Konungens vetskap och samtycke taga gemål av svenska konungahuset, inom, i svensk lag, ej förbudna leder.</w:t>
      </w:r>
    </w:p>
    <w:p>
      <w:pPr>
        <w:pStyle w:val="Heading2"/>
      </w:pPr>
      <w:r>
        <w:t>2. Carl Axel Reuterskiöld (Utan partibeteckning, man)</w:t>
      </w:r>
    </w:p>
    <w:p>
      <w:r>
        <w:rPr>
          <w:b w:val="0"/>
        </w:rPr>
        <w:t>Herr talman, mina herrar! Det är efter mycken tvekan som jag har i denna fråga begärt ordet. Min uppfattning i den föreliggande frågan har vid föregående riksdag, kan jag säga, kommit till uttryck utan all min medverkan genom det anförande, som då till kammarens protokoll hölls av herr Trygger, vilket emellertid icke utmynnade i något yrkande. Man kan ifrågasätta, huruvida det kan vara lämpligt att då upptaga spörsmålet, ännu en gång, i år. Men, herr talman, det har sedan den tiden inträffat omständigheter, som göra att jag icke anser mig kunna för min egen skull alldeles tiga. Förra året deltog jag icke i utskottets behandling av ärendet, icke heller var jag närvarande i kammaren, då beslutet fattades, och jag ansåg, att jag skulle kunna foga mig i ett visserligen mycket tråkigt, ledsamt och enligt min uppfattning skadligt beslut, men jag kan det icke längre. Det är icke det förhållandet, att texten är dålig, som gör detta. Texten är dålig i flera fall, jag skall bara påpeka det ställe, där det heter: »— — — med mindre Konungen, sedan statsrådets tankar inhämtats, därtill lämnat samtycke.» Det är en form, som kan vara och är tvetydig. Om den användes i fråga om sådana spörsmål och ting, där Konungens beslut skall fattas i statsrådet, då är ingenting att säga; men här är det fråga om beslut, som icke behöva fattas i statsrådet, och som i långa tider fattats utanför statsrådet, men tillkännagivits i statsrådet. Då medför denna formulering en tvekan: skola dessa beslut, men icke de andra, fattas i statsrådet, eller skall Konungen först inhämta statsrådets tankar och sedan fatta sitt beslut även i dessa familjeangelägenheter utanför statsrådet? I och för sig kan en sådan tvekan föranleda åtskilligt, men jag har låtit den synpunkten falla. Men då jag av andra skäl måste, herr talman, yrka avslag, har jag inte heller velat underlåta att påpeka den brist, som här föreligger.</w:t>
        <w:br/>
        <w:br/>
        <w:t>Det föreligger ännu en brist. Om man tänker sig, att detta förslag skulle antagas, så är det självklart, att det icke medför eller kan medföra några retroaktiva verkningar på sådana medlemmar av konungahuset, som redan utträtt genom att gifta sig på sätt som enligt gällande grundlag medför förlust av arvsrätten till riket. Men det ligger nära till hands att antaga, att om ett sådant förslag som detta kommit fram, kan det också komma framdeles ett förslag om retroaktiv verkan. Och om man då tänker sig, att en medlem av konungahuset är gift med en svenska, och att en annan är gift med en utländska,</w:t>
        <w:br/>
        <w:br/>
        <w:t>Men, herr talman, det väsentliga som har inträffat, det är intermezzot, om jag så får säga, i det engelska konungahuset. Det, som där skedde, och det som här har betydelse, är, att det för den allmänna uppfattningen, för den allmänna opinionen, därigenom blivit klart, att för medlemmar av ett konungahus gälla och måste komma att gälla anspråk på begränsning i fråga om friheten att välja make, som icke erkännas gälla för enskilda personer. Man kan hysa olika meningar i dessa punkter, men det visade sig i det engelska fallet, som jag icke har anledning att gå närmare in på — det är känt för alla, och om det skulle finnas saker, som icke synas i det, som synes, har det i detta avseende ingen större betydelse — men, säger jag, detta engelska fall visar, att även om inga formella föreskrifter finnas om förbud för visst äktenskap, ha likväl sådana förbud ansetts böra iakttagas. De finnas icke formellt, men reellt har man gjort dem gällande. De gälla icke för en konung i Sverige, och de gälla icke för en konung i England, i båda fallen, därför att Konungens samtycke svårligen kan ges av honom själv till honom själv. Men därest det finns legala begränsningar, såsom i Sverige, ligger det i sakens natur, att dessa legala begränsningar alltid av en monark av svenskt kynne komma att respekteras, även om han såsom ogift konung skulle ha formell frihet att bryta gränserna och att gå utanför.</w:t>
        <w:br/>
        <w:br/>
        <w:t xml:space="preserve">Vad innebär då den tanke, som här ligger bakom? Jag vill hänvisa till det anförande, som här hölls förra året av herr Trygger. Det har klart visat, vilka tankar, som ligga bakom. Och man må hysa vilken mening man vill, ett är ändå säkert, och det är, att konungahus och en konung böra stå fria från familjeförbindelser, som kunna verka efter folkets uppfattning tryckande och tvingande. Förr i världen var det förbindelserna med de svenska stormanssläkterna, grandseigneurerna, vilkas förmögenhet låg i Jordfastigheter, som ansågos riskabla. I våra dagar är den aristokratien inte så farlig i politiskt avseende, ja, kanske överhuvud inte så betydelsefull. Men det finns en annan nutida aristokrati, både internationell och svensk, verksam på finansernas och ekonomiens och det offentliga livets område. Jag frågar mig: varför skall det vara mera tillåtet att ingå en släktförbindelse med ett utländskt finansfurstehus än med ett svenskt? Och, äro ej de storfinansiella förbindelserna så internationellt betonade, att det spelar rakt ingen roll, om det gäller svenska eller utländska familjer. Här skulle man tillåta furstlig släktskap med en utländsk, internationellt, även i Sverige verksam släkt, däremot icke med en svensk internationellt, utrikes och i Sverige verksam? Men även bortsett härifrån, visar erfarenheten, att det kan vara inte blott där, som de kungliga söka sina brudar av borgerlig härkomst, utan också i andra skikt av samhället. Varför skulle då i fråga om äktenskap en svensk ung </w:t>
      </w:r>
      <w:r>
        <w:rPr>
          <w:b/>
        </w:rPr>
        <w:t>kvinna¹</w:t>
      </w:r>
      <w:r>
        <w:rPr>
          <w:b w:val="0"/>
        </w:rPr>
        <w:t xml:space="preserve"> vara utesluten, men utländsk ung </w:t>
      </w:r>
      <w:r>
        <w:rPr>
          <w:b/>
        </w:rPr>
        <w:t>kvinna¹</w:t>
      </w:r>
      <w:r>
        <w:rPr>
          <w:b w:val="0"/>
        </w:rPr>
        <w:t xml:space="preserve"> icke? När man här talar om, att det bör gälla en svensk mans, en enskild svensk mans </w:t>
      </w:r>
      <w:r>
        <w:rPr>
          <w:b/>
        </w:rPr>
        <w:t>dotter²</w:t>
      </w:r>
      <w:r>
        <w:rPr>
          <w:b w:val="0"/>
        </w:rPr>
        <w:t xml:space="preserve">, men icke en utländsk mans, så menar man naturligtvis, att den släktskap, som uppkommer med </w:t>
      </w:r>
      <w:r>
        <w:rPr>
          <w:b/>
        </w:rPr>
        <w:t>hennes²</w:t>
      </w:r>
      <w:r>
        <w:rPr>
          <w:b w:val="0"/>
        </w:rPr>
        <w:t xml:space="preserve"> familj i utlandet, skulle vara mindre farlig än släktskapen med en familj här. Men, mina herrar, det finns något, som heter inflyttning och naturalisation; och jag tvivlar inte alls på att i ett sådant fall det mycket lätt inträffar att den utländska fadern kan flytta hit och begära svenskt medborgarskap: detta kan då knappast avslås på den grund, att han är släkt och nära släkt med gemålen till en arvsberättigad prins här i Sverige. Å andra sidan: lagen kan kringgås i ett dylikt fall också av svensk </w:t>
      </w:r>
      <w:r>
        <w:rPr>
          <w:b/>
        </w:rPr>
        <w:t>kvinna¹</w:t>
      </w:r>
      <w:r>
        <w:rPr>
          <w:b w:val="0"/>
        </w:rPr>
        <w:t xml:space="preserve">, då </w:t>
      </w:r>
      <w:r>
        <w:rPr>
          <w:b/>
        </w:rPr>
        <w:t>hennes²</w:t>
      </w:r>
      <w:r>
        <w:rPr>
          <w:b w:val="0"/>
        </w:rPr>
        <w:t xml:space="preserve"> svenske fader utan större hinder mycket lätt kan begära att bli naturaliserad i utlandet. 9Se-</w:t>
        <w:br/>
        <w:br/>
        <w:t>Och framför allt, herr talman, då det gäller en lagstiftning på ett så ömtåligt område som detta, måste jag ändå säga mig, att det bör finnas mycket, mycket starka skäl för att upphäva de förbud, som finnas, och som klargöra, att konungahusets arvsberättigade ledamöter stå i en särställning med hänsyn till sina offentliga förpliktelser och sitt offentliga ansvar. Det var detta, som herr Trygger underströk som en huvudsak, och det är också för mig ett avgörande moment. Sedan det, herr talman, visat sig, att man inte ens i det fria England kan bortse från sådana synpunkter, utan ansett det nödvändigt att hävda ansvarets betydelse, självständighetens och friståendets betydelse för konungahuset i förhållande till enskilda personer, borde man mera uppskatta vad vi här i Sverige ännu hava av bestämmelser till garanti härför. Det är visserligen andra synpunkter i England än här, det är en annan mentalitet i England än här, men själva huvudsaken, att en särställning för konungahuset i förhållande till enskilda personer bevaras, det är det, som blir det avgörande.</w:t>
        <w:br/>
        <w:br/>
        <w:t>Jag ber, herr talman, att få yrka avslag på det föreliggande förslaget.</w:t>
      </w:r>
    </w:p>
    <w:p>
      <w:pPr>
        <w:pStyle w:val="Heading2"/>
      </w:pPr>
      <w:r>
        <w:t>3. Johan Bergman (Liberala samlingspartiet, man)</w:t>
      </w:r>
    </w:p>
    <w:p>
      <w:r>
        <w:rPr>
          <w:b w:val="0"/>
        </w:rPr>
        <w:t>Herr talman, mina herrar! Då det synes komma att bli omröstning i denna fråga — ett avslagsyrkande har ju redan framställts — torde det vara nödvändigt att motivera det avslagsvotum, till vilket även jag kommer.</w:t>
        <w:br/>
        <w:br/>
        <w:t>Till undvikande av missförstånd måste jag nämligen säga, att jag utgår från andra synpunkter än dem, som den föregående ärade talaren starkast betonade. Han berörde visserligen i förbigående även den synpunkt, som jag ämnar uppehålla mig vid, men jag skall be att få upptaga den sidan av saken till något utförligare behandling.</w:t>
        <w:br/>
        <w:br/>
        <w:t>Majoriteten inom det parti jag tillhör vill visserligen icke motsätta sig propositionen, men det finns åtskilliga där inom, som ganska bestämt opponera sig mot densamma, och flera, som i varje fall ha mycket starka betänkligheter. Jag anser, att dessas mening också bör få komma till uttryck i den debatt, som nu tyckes uppstå i frågan.</w:t>
        <w:br/>
        <w:br/>
        <w:t>Jag deltog icke i det beslut, som konstitutionsutskottet fattade i fjol, att tillstyrka antagande av detta förslag såsom vilande, och ej heller röstade jag då för det i kammaren. Att jag icke deltog vid behandlingen av frågan 1 utskottet och där reserverade mig, berodde på den omständigheten, att det allmänt antogs vara omöjligt att kunna genomdriva något annat beslut den gången, och det föreföll därför knappast lämpligt att göra någon större affär av saken. Det slutliga avgörandet skall ju i alla fall äga rum i dag, sedan riksdagen haft vederbörlig betänketid.</w:t>
        <w:br/>
        <w:br/>
        <w:t xml:space="preserve">Vad som föranleder mig och många andra att beklaga att man velat tillråda den ändring av successionsordningen, som här föreslås, är ingalunda den principiellt demokratiska innebörden däri, d. v. s. utvidgandet av den krets, inom vilken svensk prins bör få välja sin gemål. Jag opponerar mig icke emot möjligheten för svensk prins att ingå äktenskap med </w:t>
      </w:r>
      <w:r>
        <w:rPr>
          <w:b/>
        </w:rPr>
        <w:t>kvinna¹</w:t>
      </w:r>
      <w:r>
        <w:rPr>
          <w:b w:val="0"/>
        </w:rPr>
        <w:t xml:space="preserve"> av icke furstlig börd. Vår nuvarande dynastis stammoder var enskild utländsk mans </w:t>
      </w:r>
      <w:r>
        <w:rPr>
          <w:b/>
        </w:rPr>
        <w:t>dotter²</w:t>
      </w:r>
      <w:r>
        <w:rPr>
          <w:b w:val="0"/>
        </w:rPr>
        <w:t xml:space="preserve">, och </w:t>
      </w:r>
      <w:r>
        <w:rPr>
          <w:b/>
        </w:rPr>
        <w:t>hennes²</w:t>
      </w:r>
      <w:r>
        <w:rPr>
          <w:b w:val="0"/>
        </w:rPr>
        <w:t xml:space="preserve"> uppfyllande av sina plikter både som svensk </w:t>
      </w:r>
      <w:r>
        <w:rPr>
          <w:b/>
        </w:rPr>
        <w:t>kronprinsessa³</w:t>
      </w:r>
      <w:r>
        <w:rPr>
          <w:b w:val="0"/>
        </w:rPr>
        <w:t xml:space="preserve"> och som svensk drottning bevaras i aktat och ärat minne. Men vad som för mitt sätt att se verkar stötande i den föreliggande grundlagstexten är uteslutningen av enskild mans </w:t>
      </w:r>
      <w:r>
        <w:rPr>
          <w:b/>
        </w:rPr>
        <w:t>dotter²</w:t>
      </w:r>
      <w:r>
        <w:rPr>
          <w:b w:val="0"/>
        </w:rPr>
        <w:t xml:space="preserve">, om — och endast därför att </w:t>
      </w:r>
      <w:r>
        <w:rPr>
          <w:b/>
        </w:rPr>
        <w:t>hon²</w:t>
      </w:r>
      <w:r>
        <w:rPr>
          <w:b w:val="0"/>
        </w:rPr>
        <w:t xml:space="preserve"> är svensk, när man samtidigt lägger vägen öppen för motsvarande kategorier inom alla andra nationer. Det är omöjligt att undgå intrycket av att en ganska oförtjänt mindervärdighetsprägel därigenom åsättes den svenska </w:t>
      </w:r>
      <w:r>
        <w:rPr>
          <w:b/>
        </w:rPr>
        <w:t>kvinnan¹</w:t>
      </w:r>
      <w:r>
        <w:rPr>
          <w:b w:val="0"/>
        </w:rPr>
        <w:t xml:space="preserve"> i jämförelse med den utländska.</w:t>
        <w:br/>
        <w:br/>
        <w:t>Man får nästan en känsla av att ett nytt belägg här givits på svenskarnas underskattning av det egna och överdrivna uppskattning av det utländska, varom så många iakttagare ha vittnat, allt ifrån den okände men skarpsynte författaren av den gamla inskrift, som fordom lär ha stått att läsa i Riddarholmskyrkan, ända till Verner von Heidenstams ej mindre träffande uttalanden i den berömda studien »Om svenskarnes lynne».</w:t>
        <w:br/>
        <w:br/>
        <w:t xml:space="preserve">Jag vet naturligtvis fullväl, att ingen avsikt förelegat att avge ett ringaktande omdöme om den svenska </w:t>
      </w:r>
      <w:r>
        <w:rPr>
          <w:b/>
        </w:rPr>
        <w:t>kvinnan¹</w:t>
      </w:r>
      <w:r>
        <w:rPr>
          <w:b w:val="0"/>
        </w:rPr>
        <w:t xml:space="preserve">, men jag måste tyvärr säga mig, att den uppseendeväckande och uttryckliga uteslutningen av </w:t>
      </w:r>
      <w:r>
        <w:rPr>
          <w:b/>
        </w:rPr>
        <w:t>henne²</w:t>
      </w:r>
      <w:r>
        <w:rPr>
          <w:b w:val="0"/>
        </w:rPr>
        <w:t xml:space="preserve"> vid ändring av den grundlagsparagraf, som det nu är fråga om, knappast kan undgå att både inoch utomlands ge ett sådant intryck. Och man måste fråga om det skall vara nödvändigt att utsätta sig för en sådan uttolkning.</w:t>
        <w:br/>
        <w:br/>
        <w:t xml:space="preserve">Vad är motivet till uteslutningen? Någon har sagt, att orsaken skulle vara befarat familjepolitiskt inflytande från till tronens närhet upphöjda svenska släkter. Men behöver man verkligen i vår tid, då de politiska maktfaktorerna äro helt andra än förr, befara något sådant? Här har talats om England. Jag anser icke den episod, som den föregående ärade talaren särskilt berörde, vara ägnad att spela någon roll i denna diskussion, men det finns någonting annat 1 England, som man med större skäl har anledning att tänka på. Det är ju mycket vanligt, att engelska prinsar ingå äktenskap med enskild engelsk mans </w:t>
      </w:r>
      <w:r>
        <w:rPr>
          <w:b/>
        </w:rPr>
        <w:t>dotter²</w:t>
      </w:r>
      <w:r>
        <w:rPr>
          <w:b w:val="0"/>
        </w:rPr>
        <w:t>, och i England har man sålunda icke ansett, att detta skulle medföra någon sådan fara, som nyss antyddes. Jag undrar, om man i England skulle finna sig i en bestämmelse analog med den som nu föreslås hos oss. Man kan vidare, såsom den föregående ärade talaren också glorde, ifrågasätta, om icke det obehöriga inflytande, som man skulle kunna befara, är lika tänkbart vid konungahusets giftermålsförbindelse med enskilda släkter i utlandet, och i varje fall torde det vara svårare att här hemma kunna bedöma utländska än inländska förbindelsers eventuella värde eller betänkligheter.</w:t>
        <w:br/>
        <w:br/>
        <w:t xml:space="preserve">Vårt lands historia har åtskilliga exempel att uppvisa — och det från tider med större möjligheter för obehörig familjepolitik än i vår tid — på att enskilda svenska mäns </w:t>
      </w:r>
      <w:r>
        <w:rPr>
          <w:b/>
        </w:rPr>
        <w:t>döttrar²</w:t>
      </w:r>
      <w:r>
        <w:rPr>
          <w:b w:val="0"/>
        </w:rPr>
        <w:t xml:space="preserve"> till och med uppnått drottningvärdigheten och efterlämnat ett lika gott minne som andra, vilka haft den furstliga bördens företräden. I nyare tid var den första av dessa drottningar, som bekant, Margareta Leijonhufvud. Det torde vara en ganska allmän och knappast ogrundad åsikt, att det icke skulle ha varit någon olycka för Gustav II Adolf och för hans ätt, om hans ungdomsdröm att få äkta en enskild svensk mans </w:t>
      </w:r>
      <w:r>
        <w:rPr>
          <w:b/>
        </w:rPr>
        <w:t>dotter²</w:t>
      </w:r>
      <w:r>
        <w:rPr>
          <w:b w:val="0"/>
        </w:rPr>
        <w:t xml:space="preserve"> hade gått i uppfyllelse. Vår egen historia ger, kan man lugnt säga, ett gott betyg åt enskilda svenska mäns </w:t>
      </w:r>
      <w:r>
        <w:rPr>
          <w:b/>
        </w:rPr>
        <w:t>döttrar²</w:t>
      </w:r>
      <w:r>
        <w:rPr>
          <w:b w:val="0"/>
        </w:rPr>
        <w:t xml:space="preserve"> i sådan ställning som nyss nämnts.</w:t>
        <w:br/>
        <w:br/>
        <w:t>Jag vill säga, att den föreslagna paragrafen saknar någonting, som de romerska rättslärda fordrade av sina lagar. De talade om någonting, som de kallade för elegantia juris, vars motsats var inelegantia juris. Det kan vara svårt att på svenska exakt uttrycka vad som menas med denna »rättens elegans». Därmed menades, kan man säga, att en lagbestämmelse skulle äga den oangriplighet, den frihet från varje stötande moment och den fullkomliga korrekthet, som tillhöra lagens begrepp enligt romersk uppfattning. Även vad herr Reuterskiöld påpekade i avseende på oklarheten rörande statsrådets befattning med saken tyder på att den föreslagna nya texten lider av denna brist på elegantia juris. Jag tror, att man har anledning att tänka på denna mycket värdefulla egenskap, som eftersträvades i den romerska rätten och som borde vara en oförytterlig arvedel i all lagstiftning även för kommande tider, framför allt i grundlagar.</w:t>
        <w:br/>
        <w:br/>
        <w:t>Jag ber att få yrka avslag.</w:t>
      </w:r>
    </w:p>
    <w:p>
      <w:pPr>
        <w:pStyle w:val="Heading2"/>
      </w:pPr>
      <w:r>
        <w:t>4. Gustaf Strömberg (Socialdemokraterna, man)</w:t>
      </w:r>
    </w:p>
    <w:p>
      <w:r>
        <w:rPr>
          <w:b w:val="0"/>
        </w:rPr>
        <w:t>Då man hör de båda sista talarnas motivering för avslagsyrkandet, får man — åtminstone gäller det mig — den uppfattningen, att deras argument slå ihjäl varandra. Jag undrar, om kammaren vid detta tillfälle har intresse av att taga upp de olika skäl för och emot, vilka förde de båda talarna till ett och samma slut. Jag tror det inte för min del, herr talman.</w:t>
        <w:br/>
        <w:br/>
        <w:t>Jag nöjer mig därför med att under åberopande av de skäl, som anfördes vid behandlingen av frågan förra året, yrka bifall till de vilande grundlagsändringsförslagen.</w:t>
      </w:r>
    </w:p>
    <w:p>
      <w:pPr>
        <w:pStyle w:val="Heading2"/>
      </w:pPr>
      <w:r>
        <w:t>5. Carl Axel Reuterskiöld (Utan partibeteckning, man)</w:t>
      </w:r>
    </w:p>
    <w:p>
      <w:r>
        <w:rPr>
          <w:b w:val="0"/>
        </w:rPr>
        <w:t xml:space="preserve">Jag vill endast säga, att de skäl, som anförts av herr Bergman och mig, ingalunda slå ihjäl varandra. Jag är av samma mening som herr Bergman angående förslagets innehåll, därest en ändring skall ske. Men frågan är just, om den ändring, som nu är föreslagen, överhuvud taget bör genomföras eller om detta icke alls bör ske med hänsyn till det ena eller andra momentet. I det fallet äro vi alltså ense, att om denna utvidgning skall genomföras, 'skall den omfatta även svensk </w:t>
      </w:r>
      <w:r>
        <w:rPr>
          <w:b/>
        </w:rPr>
        <w:t>kvinna¹</w:t>
      </w:r>
      <w:r>
        <w:rPr>
          <w:b w:val="0"/>
        </w:rPr>
        <w:t>. TI det fallet äro vi även ense, att somm förslaget nu är formulerat, bör det icke antagas.</w:t>
      </w:r>
    </w:p>
    <w:p>
      <w:pPr>
        <w:pStyle w:val="Heading2"/>
      </w:pPr>
      <w:r>
        <w:t>6. Elof Andersson (–, man)</w:t>
      </w:r>
    </w:p>
    <w:p>
      <w:r>
        <w:rPr>
          <w:b w:val="0"/>
        </w:rPr>
        <w:t>Herr talman! Jag vill inte närmare ingå på själva sakfrågan. Jag anser, att de erinringar, som man eventuellt kunnat göra mot det föreliggande förslaget, borde ha framförts förra året och inte i år. Då ärendet behandlades förra året i denna kammare, restes visserligen invändningar av två eller tre talare. Dessa invändningar voro dock icke så allvarliga, att vederbörande ansågo sig böra yrka avslag eller begära votering vid frågans avgörande. Om jag inte misstar mig, bifölls då utskottets förslag utan votering.</w:t>
        <w:br/>
        <w:br/>
        <w:t>Jag tillåter mig därför, herr talman, att för egen del — och jag tror mig därvid tala även för den övervägande delen av mina kamrater 1 det parti jag tillhör — framhålla, att min uppfattning är densamma som förra året; jag ber alltså att få uttala mig till förmån för det föreliggande grundlagsändringsförslaget, till vilket jag yrkar bifall.</w:t>
      </w:r>
    </w:p>
    <w:p>
      <w:pPr>
        <w:pStyle w:val="Heading2"/>
      </w:pPr>
      <w:r>
        <w:t>7. Harald Åkerberg (Socialdemokraterna, man)</w:t>
      </w:r>
    </w:p>
    <w:p>
      <w:r>
        <w:rPr>
          <w:b w:val="0"/>
        </w:rPr>
        <w:t>Herr talman! Jag måste erkänna, att herrar Reuterskiöld och Bergman genom sina anföranden ha lyckats visa upp, att det finns något, som haltar i denna fråga. Men jag undrar, om det inte sammanhänger med hela den institution, som det här gäller. Vi kunna inte komma ifrån, att monarkien är en anakronism, men det underliga är, att denna anakronism har fått ett så starkt fäste i vår demokratiska tid. Det förefaller till och med, som om utvecklingen efter kriget skulle gått därhän, att monarkien har bundit sitt öde huvudsakligast vid den demokratiska regimen och vid de demokratiska länderna. Jag tror, att den har sina fördelar. Även vi demokrater acceptera monarkien i dag. Men det skulle aldrig falla oss in att försöka motivera, varför vi acceptera densamma. Under alla förhållanden skulle det inte lyckas för oss att motivera det.</w:t>
        <w:br/>
        <w:br/>
        <w:t>Däremot tycker jag inte, att vare sig herr Reuterskiöld eller herr Bergman lyckats framdraga några verkligt starka skäl emot det nu föreliggande förslaget. Herr Reuterskiöld sade, att det har inträffat något nytt sedan i fjol, och han sade också, att det nya, som hade inträffat, var den kända konflikten inom det engelska kungahuset. Jag tror inte, att den har någon relevans hos oss, vare sig när det gäller det här föreliggande förslaget eller förhållandena 1 Sverige. Vad som förelåg i England var en huvudsakligast moralisk affär. Det var av moraliska grunder som det engelska folket reagerade emot det gif-</w:t>
        <w:br/>
        <w:br/>
        <w:t xml:space="preserve">termål den engelske kungen ville inlåta sig i. Jag tror inte, att några moraliska synpunkter äro engagerade i det här fallet. Överhuvud taget äro naturligtvis inte de motiv, som ha förestavat förbudet för kungliga personer att ingå äktenskap med enskilda människor, relevanta i vår tid. Jag tror inte, att det skulle medföra några risker, om någon av våra prinsar ville ingå äktenskap med en svensk </w:t>
      </w:r>
      <w:r>
        <w:rPr>
          <w:b/>
        </w:rPr>
        <w:t>flicka²</w:t>
      </w:r>
      <w:r>
        <w:rPr>
          <w:b w:val="0"/>
        </w:rPr>
        <w:t xml:space="preserve"> av borgerlig härkomst. Jag tror heller inte, att det vore någon risk, om en utländsk </w:t>
      </w:r>
      <w:r>
        <w:rPr>
          <w:b/>
        </w:rPr>
        <w:t>flicka²</w:t>
      </w:r>
      <w:r>
        <w:rPr>
          <w:b w:val="0"/>
        </w:rPr>
        <w:t xml:space="preserve"> skulle komma i samma ställning. Rent formellt måste man naturligtvis fråga sig, vad meningen är med att det skall vara tillåtet för utländska </w:t>
      </w:r>
      <w:r>
        <w:rPr>
          <w:b/>
        </w:rPr>
        <w:t>flickor²</w:t>
      </w:r>
      <w:r>
        <w:rPr>
          <w:b w:val="0"/>
        </w:rPr>
        <w:t xml:space="preserve"> att gifta in sig i vår kungafamilj, under det att de svenska </w:t>
      </w:r>
      <w:r>
        <w:rPr>
          <w:b/>
        </w:rPr>
        <w:t>flickorna²</w:t>
      </w:r>
      <w:r>
        <w:rPr>
          <w:b w:val="0"/>
        </w:rPr>
        <w:t xml:space="preserve"> skulle vara handikappade i det avseendet. Herr Bergman menade, att det skulle vara något slags mindervärdighetskomplex, som låge bakom detta. Jag tror inte, att så är förhållandet. Åtminstone skulle jag för min del inte tveka att ta steget fullt ut och tillåta vår kungafamilj att ha sådana förbindelser även med svenska borgerliga släkter. Jag kan inte inse, att de förhållanden, som herr Bergman har åberopat i detta sammanhang, skulle utgöra ett skäl för riksdagen att icke ta det steg, som nu skall tagas, vilket i alla fall är ett steg i rätt riktning. Jag kommer, då förslag härom föreligger från herr Reuterskiölds eller herr Bergmans sida, att stödja även det förslaget. Men jag ser ingen anledning till att vi inte i dag skulle kunna taga det steg, som det här är fråga om.</w:t>
        <w:br/>
        <w:br/>
        <w:t>Jag ber att få yrka, att förslaget bifalles.</w:t>
      </w:r>
    </w:p>
    <w:p>
      <w:pPr>
        <w:pStyle w:val="Heading2"/>
      </w:pPr>
      <w:r>
        <w:t>8. Johan Bergman (Liberala samlingspartiet, man)</w:t>
      </w:r>
    </w:p>
    <w:p>
      <w:r>
        <w:rPr>
          <w:b w:val="0"/>
        </w:rPr>
        <w:t xml:space="preserve">Efter den siste ärade talarens anförande förefaller det mycket logiskt, om han själv och det stora parti han här företräder följa avslagsyrkandet, ty han ställde sig ju på fullkomligt samma ståndpunkt som jag 1 avseende på olämpligheten av svenska </w:t>
      </w:r>
      <w:r>
        <w:rPr>
          <w:b/>
        </w:rPr>
        <w:t>kvinnors¹</w:t>
      </w:r>
      <w:r>
        <w:rPr>
          <w:b w:val="0"/>
        </w:rPr>
        <w:t xml:space="preserve"> uteslutning. Han sade visserligen, att, om det en annan gång framlägges ett nytt förslag, som skulle göra dem jämställda med utländskorna, så vill han vara med därom. Men vill han få fram ett sådant förslag, så bör han underkänna den föreliggande propositionen. Om man nu accepterar denna, undrar jag om det inte kommer att dröja länge, innan man gör någon ny ändring i nu föreliggande grundlagsparagrafer.</w:t>
        <w:br/>
        <w:br/>
        <w:t>Det försvar för propositionen, som här gavs av regeringspartiets talesman, påminner något om en situation i Atén och i viss mån även i gudarnas olymp en gång i forntiden. Enligt vad ett pålitligt sanningsvittne, den grekiske satirikern Lukianos, har berättat, ägde en stor debatt rum i Atén, varav gudarna voro mycket intresserade, nämligen huruvida gudarna existerade eller ej. Den diskussionen fördes mellan två filosofer i Atén. Zeus hade med anledning därav sammankallat ett gudamöte uppe i olympen, där man var mycket bekymrad. I fall den meningen skulle vinna, att gudarna icke funnos, så var man rädd för att det skulle bli riskabelt för gudarna: offren och all gudadyrkan skulle upphöra. När diskussionen började, öppnade man molnens väggar och gudarna sågo ned på den pelarhall i Atén, där debatten ägde rum. Den ene av filosoferna försvarade gudarnas tillvaro, den andre förnekade den, och när de hållit på en stund, sade Zeus: »Jag får verkligen säga, att vår försvarare använder så dåliga och kuriösa argument, att jag fruktar, att det kommer att gå galet för honom. Vi ha en dålig advokat där nere.»</w:t>
        <w:br/>
        <w:br/>
        <w:t>Jag måste säga, att jag nästan fick samma intryck, när jag hörde herr Åkerberg nu. Ehuru jag annars har den allra största respekt för denne min vän sedan många år, så verkade han sannerligen i dag på mig som om han skulle ha tvungits att advocera för en dålig sak. Hans argument voro sådana, att jag</w:t>
        <w:br/>
        <w:br/>
        <w:t>nästan tror, att den andra sidan har större fördel av dem än den han själv tillhör.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786</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