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789</w:t>
      </w:r>
    </w:p>
    <w:p>
      <w:r>
        <w:rPr>
          <w:b/>
        </w:rPr>
        <w:t xml:space="preserve">Datum: </w:t>
      </w:r>
      <w:r>
        <w:t>1937-03-17</w:t>
      </w:r>
    </w:p>
    <w:p>
      <w:r>
        <w:rPr>
          <w:b/>
        </w:rPr>
        <w:t xml:space="preserve">Kammare: </w:t>
      </w:r>
      <w:r>
        <w:t>Första kammaren</w:t>
      </w:r>
    </w:p>
    <w:p>
      <w:r>
        <w:rPr>
          <w:b/>
        </w:rPr>
        <w:t xml:space="preserve">Antal yttranden: </w:t>
      </w:r>
      <w:r>
        <w:t>5</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Olof Olsson (Socialdemokraterna, man)</w:t>
      </w:r>
    </w:p>
    <w:p>
      <w:r>
        <w:rPr>
          <w:b w:val="0"/>
        </w:rPr>
        <w:t>Herr talman! Jag skulle vara synnerligen tacksam, för den händelse kammaren ville lyssna några minuter till vad som kan behöva anföras på denna punkt. Jag förmodar att det stora flertalet av kammarens ledamöter inte är mycket bättre än jag själv, att de inte läsa igenom något annat riksdagstryck, än det man tycker har ett särskilt intresse för ens eget vidkommande, och att följaktligen ytterst få verkligen gått igenom de olika handlingar, som här föreligga till prövning.</w:t>
        <w:br/>
        <w:br/>
        <w:t xml:space="preserve">Det gäller en </w:t>
      </w:r>
      <w:r>
        <w:rPr>
          <w:b/>
        </w:rPr>
        <w:t>lärarinna³</w:t>
      </w:r>
      <w:r>
        <w:rPr>
          <w:b w:val="0"/>
        </w:rPr>
        <w:t>, som på grund av ogynnsamma omständigheter inte har fått den pension, som motionärerna anse vara den riktiga och som med en smula bättre tur säkerligen också varit större än vad den har blivit.</w:t>
        <w:br/>
        <w:br/>
        <w:t>Jag måste till att börja med bekänna, att allt vad som framställes i motionen om tur och otur inte mycket påverkar mig. Det är en sak för sig, som vi alla äro underkastade, och vi få ta det som det kommer. Jag vill således inte på något vis spela på de strängarna. Då jag nu likväl tagit upp denna fråga</w:t>
        <w:br/>
        <w:br/>
        <w:t xml:space="preserve">Den pension, som utgår till de enskilda läroverkens </w:t>
      </w:r>
      <w:r>
        <w:rPr>
          <w:b/>
        </w:rPr>
        <w:t>lärarinnor³</w:t>
      </w:r>
      <w:r>
        <w:rPr>
          <w:b w:val="0"/>
        </w:rPr>
        <w:t xml:space="preserve">, kan man säga går ut i två avdelningar; först ha vi en grundpension och så ovanpå denna en tilläggspension. Grundpensionen bekostas till lika delar av tre parter, </w:t>
      </w:r>
      <w:r>
        <w:rPr>
          <w:b/>
        </w:rPr>
        <w:t>lärarinnan³</w:t>
      </w:r>
      <w:r>
        <w:rPr>
          <w:b w:val="0"/>
        </w:rPr>
        <w:t xml:space="preserve"> själv, vidare anstalten, där </w:t>
      </w:r>
      <w:r>
        <w:rPr>
          <w:b/>
        </w:rPr>
        <w:t>hon²</w:t>
      </w:r>
      <w:r>
        <w:rPr>
          <w:b w:val="0"/>
        </w:rPr>
        <w:t xml:space="preserve"> verkar, och till sist staten. Man kan säga om denna pension att den är liten — för att inte säga ytterst liten. Tilläggspensionen är däremot statens bidrag ensamt, och den är, så långt jag kunnat följa de båda pensionernas storlek, mycket större — i närvarande stund i varje fall avsevärt större — än grundpensionen. Denna tilläggspension är egentligen en storartad gåva från staten till de enskilda läroanstalternas </w:t>
      </w:r>
      <w:r>
        <w:rPr>
          <w:b/>
        </w:rPr>
        <w:t>lärarinnor³</w:t>
      </w:r>
      <w:r>
        <w:rPr>
          <w:b w:val="0"/>
        </w:rPr>
        <w:t xml:space="preserve">. Den kom till under den värsta kristiden, och man kan utan överdrift säga, att den räddade våra </w:t>
      </w:r>
      <w:r>
        <w:rPr>
          <w:b/>
        </w:rPr>
        <w:t>lärarinnor³</w:t>
      </w:r>
      <w:r>
        <w:rPr>
          <w:b w:val="0"/>
        </w:rPr>
        <w:t xml:space="preserve"> från att fara illa — i många fall bokstavligen räddade dem ifrån svält.</w:t>
        <w:br/>
        <w:br/>
        <w:t>Jag meddelar detta, som ju ligger något utanför, uteslutande för att ge en säker bakgrund, mot vilken man bör se ärendet, när vi komma till själva kärnpunkten, och jag skall be att få övergå till denna omedelbart.</w:t>
        <w:br/>
        <w:br/>
        <w:t xml:space="preserve">Den motion. som här blivit avstyrkt av bankoutskottet, rör inte grundpensionen. Den har en gång bestämts till 217 kronor per år, och om den säges här ingenting. Vad det gäller är den andra delen av </w:t>
      </w:r>
      <w:r>
        <w:rPr>
          <w:b/>
        </w:rPr>
        <w:t>lärarinnans³</w:t>
      </w:r>
      <w:r>
        <w:rPr>
          <w:b w:val="0"/>
        </w:rPr>
        <w:t xml:space="preserve"> pension, nämligen tilläggspensionen. Den har av myndigheterna fastställts till 218 kronor, d.v. s. till ett belopp, som enligt motionärernas uppfattning är för litet. Den borde vara 628 kronor, om allt skulle vara riktigt, således 410 kronor mer än vad som nu utgår. Detta är den springande punkten, som vi speciellt skola lägga märke till. Det gäller således att försöka ta reda på, huruvida det är riktigt att pensionen satts till denna summa eller om det inte är riktigt. Den kungörelse, enligt vilken pensionen skulle utgå, är utfärdad 1921 och den innehåller följande i den punkt, som här avses: »Rätt att efter avgång från sådan anställning. som i $ 2 av reglementet för </w:t>
      </w:r>
      <w:r>
        <w:rPr>
          <w:b/>
        </w:rPr>
        <w:t>lärarinnornas³</w:t>
      </w:r>
      <w:r>
        <w:rPr>
          <w:b w:val="0"/>
        </w:rPr>
        <w:t xml:space="preserve"> pensionsanstalt sägs, erhålla tilläggspension inträder det kalenderår, då pensionstagaren fyller 60 år, dock icke före den 1 juli 1921, med villkor dels att </w:t>
      </w:r>
      <w:r>
        <w:rPr>
          <w:b/>
        </w:rPr>
        <w:t>hon²</w:t>
      </w:r>
      <w:r>
        <w:rPr>
          <w:b w:val="0"/>
        </w:rPr>
        <w:t xml:space="preserve"> under minst 10 tjänstår, beräknade på sätt nedan under punkt c) sägs, bestritt sådan tjänstgöring vid enskild läroanstalt, att </w:t>
      </w:r>
      <w:r>
        <w:rPr>
          <w:b/>
        </w:rPr>
        <w:t>hon²</w:t>
      </w:r>
      <w:r>
        <w:rPr>
          <w:b w:val="0"/>
        </w:rPr>
        <w:t xml:space="preserve"> enligt eljest gällande bestämmelser ägt rätt att tillgodoräkna sig densamma för uppflyttning i högre lönegrad, dels ock att </w:t>
      </w:r>
      <w:r>
        <w:rPr>
          <w:b/>
        </w:rPr>
        <w:t>hon²</w:t>
      </w:r>
      <w:r>
        <w:rPr>
          <w:b w:val="0"/>
        </w:rPr>
        <w:t xml:space="preserve"> efter utgången av år 1906 tjänstgjort minst 10 år.»</w:t>
        <w:br/>
        <w:br/>
        <w:t xml:space="preserve">Detta är bestämmelsen och frågan gäller således, huruvida bankoutskottet har rätt eller orätt. Personligen anser jag, att bankoutskottet har fullkomligt rätt. Bankoutskottet bygger egentligen på yttranden, som kommit från skolöverstyrelsen, statens pensionsanstalt, statskontoret och till sist regeringsrätten. Det är ju visserligen så, att exempelvis skolöverstyrelsen och statskontoret tvista om saker och ting. men det är inte någonting sådant som berör detta ärende i någon central del. Då jag som sagt ifrån början varit med om att gå igenom alla handlingar, tror jag mig med skäl kunna påstå, att bankoutskottet har fullkomligt rätt i sin uppfattning om saken. Enligt den kungörelse, som jag nyss läst upp, skulle nämligen en </w:t>
      </w:r>
      <w:r>
        <w:rPr>
          <w:b/>
        </w:rPr>
        <w:t>lärarinna³</w:t>
      </w:r>
      <w:r>
        <w:rPr>
          <w:b w:val="0"/>
        </w:rPr>
        <w:t xml:space="preserve"> för att bli delaktig av den tilläggspension, som skall utgå enligt denna kungörelse, ha tjänstgjort 20 lästerminer. Frågan är således huruvida </w:t>
      </w:r>
      <w:r>
        <w:rPr>
          <w:b/>
        </w:rPr>
        <w:t>lärarinnan³</w:t>
      </w:r>
      <w:r>
        <w:rPr>
          <w:b w:val="0"/>
        </w:rPr>
        <w:t xml:space="preserve"> Karin Lämmerhirt verkligen uppfyller detta krav. Man finner, att </w:t>
      </w:r>
      <w:r>
        <w:rPr>
          <w:b/>
        </w:rPr>
        <w:t>hon²</w:t>
      </w:r>
      <w:r>
        <w:rPr>
          <w:b w:val="0"/>
        </w:rPr>
        <w:t xml:space="preserve"> i själva verket tjänstgjort 20 lästerminer, men det är ett år — eller rättare två terminer av dessa 20 — som man kan yttra tvivel om, nämligen året 1913. Vårterminen detta år började </w:t>
      </w:r>
      <w:r>
        <w:rPr>
          <w:b/>
        </w:rPr>
        <w:t>hon²</w:t>
      </w:r>
      <w:r>
        <w:rPr>
          <w:b w:val="0"/>
        </w:rPr>
        <w:t xml:space="preserve"> sin</w:t>
        <w:br/>
        <w:br/>
        <w:t>Man måste ju medge, att de myndigheter, som yttrat sig om saken, inte kunnat ta hänsyn till någonting annat än vad som står i kungörelsen. Dessa myndigheter ha skyldighet att undersöka hur förordningen lyder och om villkoren äro uppfyllda. Men å andra sidan måste man ju också kunna göra gällande, att både bankoutskottet och riksdagen ha en friare ställning. Om de finna skäl tala i annan riktning än vad en kungörelse ordagrant anger, är det klart att de kunna ta hänsyn till dessa skäl, oberoende av vad kungörelsen säger.</w:t>
        <w:br/>
        <w:br/>
        <w:t>Det är ju nämligen på det viset, att våra förordningar gå igenom samhällets olika förhållanden nästan som raka streck. De säga hur det bör vara. Kring dessa raka linjer slingrar sig sedan livet i dess olika växlingar. Är det så att dessa sluta sig nära intill förordningsstrecket, kan det mycket väl hända, att vi låta dem sammanfalla med förordningen. Är det åter så, att de däremot avlägsna sig alltför långt kunna vi icke erkänna dem såsom normala och i allmänhet låta vi de människor, som på ett eller annat sätt kommit bort från förordningarna, märka detta.</w:t>
        <w:br/>
        <w:br/>
        <w:t xml:space="preserve">Detta är sålunda det centrala, och jag upprepar, att vad denna </w:t>
      </w:r>
      <w:r>
        <w:rPr>
          <w:b/>
        </w:rPr>
        <w:t>lärarinna³</w:t>
      </w:r>
      <w:r>
        <w:rPr>
          <w:b w:val="0"/>
        </w:rPr>
        <w:t xml:space="preserve"> beträffar har </w:t>
      </w:r>
      <w:r>
        <w:rPr>
          <w:b/>
        </w:rPr>
        <w:t>hon²</w:t>
      </w:r>
      <w:r>
        <w:rPr>
          <w:b w:val="0"/>
        </w:rPr>
        <w:t xml:space="preserve"> på tvenne punkter kommit bort från förordningens ordalydelse. Jag frågar mig då, eftersom detta är notoriskt, om denna avvikelse från det normala är så vidlyftig, att den bör inverka på </w:t>
      </w:r>
      <w:r>
        <w:rPr>
          <w:b/>
        </w:rPr>
        <w:t>lärarinnans³</w:t>
      </w:r>
      <w:r>
        <w:rPr>
          <w:b w:val="0"/>
        </w:rPr>
        <w:t xml:space="preserve"> pension. Jag tycker själv, fastän jag visserligen varit med om att fastlå, att enligt förordningens ordalydelse kan </w:t>
      </w:r>
      <w:r>
        <w:rPr>
          <w:b/>
        </w:rPr>
        <w:t>lärarinnan³</w:t>
      </w:r>
      <w:r>
        <w:rPr>
          <w:b w:val="0"/>
        </w:rPr>
        <w:t xml:space="preserve"> Karin Lämmerhirt inte falla under bestämmelsen, att det ändå är en väl sträng tolkning att den omständigheten, att en </w:t>
      </w:r>
      <w:r>
        <w:rPr>
          <w:b/>
        </w:rPr>
        <w:t>lärarinna³</w:t>
      </w:r>
      <w:r>
        <w:rPr>
          <w:b w:val="0"/>
        </w:rPr>
        <w:t xml:space="preserve"> är borta några veckor under en termin, skall kunna få ha den betydelsen, att </w:t>
      </w:r>
      <w:r>
        <w:rPr>
          <w:b/>
        </w:rPr>
        <w:t>hennes²</w:t>
      </w:r>
      <w:r>
        <w:rPr>
          <w:b w:val="0"/>
        </w:rPr>
        <w:t xml:space="preserve"> pension under hela </w:t>
      </w:r>
      <w:r>
        <w:rPr>
          <w:b/>
        </w:rPr>
        <w:t>hennes²</w:t>
      </w:r>
      <w:r>
        <w:rPr>
          <w:b w:val="0"/>
        </w:rPr>
        <w:t xml:space="preserve"> kommande liv skall minskas med 400 kronor årligen. Det blir alltför dyra veckor! Och den omständigheten att </w:t>
      </w:r>
      <w:r>
        <w:rPr>
          <w:b/>
        </w:rPr>
        <w:t>hon²</w:t>
      </w:r>
      <w:r>
        <w:rPr>
          <w:b w:val="0"/>
        </w:rPr>
        <w:t xml:space="preserve"> under en hösttermin tjänstgjort vid ett statsläroverk i stället för vid ett enskilt läroverk tycker jag inte heller bör kunna lända </w:t>
      </w:r>
      <w:r>
        <w:rPr>
          <w:b/>
        </w:rPr>
        <w:t>henne²</w:t>
      </w:r>
      <w:r>
        <w:rPr>
          <w:b w:val="0"/>
        </w:rPr>
        <w:t xml:space="preserve"> till men. De barn, som där undervisades, voro också svenska barn och den gärning, </w:t>
      </w:r>
      <w:r>
        <w:rPr>
          <w:b/>
        </w:rPr>
        <w:t>hon²</w:t>
      </w:r>
      <w:r>
        <w:rPr>
          <w:b w:val="0"/>
        </w:rPr>
        <w:t xml:space="preserve"> där utövade, kom också landet till godo.</w:t>
        <w:br/>
        <w:br/>
        <w:t>På grund av min helhetssyn på dessa ting ber jag, herr talman, att få yrka bifall till herr Wahlmarks motion.</w:t>
      </w:r>
    </w:p>
    <w:p>
      <w:pPr>
        <w:pStyle w:val="Heading2"/>
      </w:pPr>
      <w:r>
        <w:t>2. Edwin Berling (Socialdemokraterna, man)</w:t>
      </w:r>
    </w:p>
    <w:p>
      <w:r>
        <w:rPr>
          <w:b w:val="0"/>
        </w:rPr>
        <w:t>Herr talman! Herr förste vice talmannen har i sitt yttrande erkänt, att bankoutskottet haft rätt, då det givit sitt yrkande den form det har. Jag kan således endast hänvisa till den föregående ärade talaren i det avseendet. Emellertid kom han det oaktat till ett annat yrkande än utskottet och anförde vissa skäl härför. Utskottet har dock inte kunnat handla på annat sätt än det gjort. Det har haft att bygga sin ståndpunkt på de yttranden, som kommit från de institutioner, vilka stå omnämnda i bankoutskottets utlåtande. Utskottet har också måst ta hänsyn till de konsekvenser, som ett bifall till motionen skulle medföra.</w:t>
      </w:r>
    </w:p>
    <w:p>
      <w:pPr>
        <w:pStyle w:val="Heading2"/>
      </w:pPr>
      <w:r>
        <w:t>3. Harald Åkerberg (Socialdemokraterna, man)</w:t>
      </w:r>
    </w:p>
    <w:p>
      <w:r>
        <w:rPr>
          <w:b w:val="0"/>
        </w:rPr>
        <w:t>Herr talman! Jag kan helt instämma i det anförande, som hållits av förste vice talmannen. Herr Berling hängde upp sig på ett yttrande av den förste ärade talaren, som gick ut på att bankoutskottet hade rätt. Men jag skall be att få erinra herr Berling om att förste vice talmannen gjorde gällande, att bankoutskottet hade rätt endast i formellt avseende. Han framhöll också, att både riksdagen och bankoutskottet hade inte bara rätt, utan väl också skyldighet att pröva ett sådant fall från andra synpunkter än de rent formella.</w:t>
        <w:br/>
        <w:br/>
        <w:t xml:space="preserve">Herr förste vice talmannen har på ett klart sätt lagt upp hela den tragedi, som man här nästan kan säga föreligger. Det torde vara huvudsakligast på grund av obekantskap med gällande bestämmelser, som </w:t>
      </w:r>
      <w:r>
        <w:rPr>
          <w:b/>
        </w:rPr>
        <w:t>fru²</w:t>
      </w:r>
      <w:r>
        <w:rPr>
          <w:b w:val="0"/>
        </w:rPr>
        <w:t xml:space="preserve"> Karin Lämmerhirt kommit i det läget, att </w:t>
      </w:r>
      <w:r>
        <w:rPr>
          <w:b/>
        </w:rPr>
        <w:t>hon²</w:t>
      </w:r>
      <w:r>
        <w:rPr>
          <w:b w:val="0"/>
        </w:rPr>
        <w:t xml:space="preserve"> i formellt avseende icke helt fyller de villkor, som äro uppställda för erhållande av full tilläggspension. Men det behöver inte ens vara okunnighet om formerna, det kan också bero på svårighet att tolka de invecklade bestämmelser, som det här är fråga om, en svårighet som yppar sig inte bara för en enskild person, utan till och med för litet var bland bankoutskottets ledamöter, när de skola fördjupa sig i denna labyrint av bestämmelser.</w:t>
        <w:br/>
        <w:br/>
        <w:t xml:space="preserve">Som herr förste vice talmannen redan framhållit, är tidsskillnaden så obetydlig, att den endast gäller ett par veckor. Hade </w:t>
      </w:r>
      <w:r>
        <w:rPr>
          <w:b/>
        </w:rPr>
        <w:t>hon²</w:t>
      </w:r>
      <w:r>
        <w:rPr>
          <w:b w:val="0"/>
        </w:rPr>
        <w:t xml:space="preserve"> vetat att pensionen berott på dessa veckor, hade </w:t>
      </w:r>
      <w:r>
        <w:rPr>
          <w:b/>
        </w:rPr>
        <w:t>hon²</w:t>
      </w:r>
      <w:r>
        <w:rPr>
          <w:b w:val="0"/>
        </w:rPr>
        <w:t xml:space="preserve"> väl varit i tillfälle att på något sätt utfylla sin tjänstgöring. Jag tycker inte att det är riksdagen värdigt att begagna sig av denna okunnighet om bestämmelserna eller rent av svårighet att tolka dem, som finns hos oss alla, utan jag instämmer helt och fullt i förste vice talmannens yrkande att första kammaren måtte bifalla herr Wahlmarks motion.</w:t>
      </w:r>
    </w:p>
    <w:p>
      <w:pPr>
        <w:pStyle w:val="Heading2"/>
      </w:pPr>
      <w:r>
        <w:t>4. Olof Olsson (Socialdemokraterna, man)</w:t>
      </w:r>
    </w:p>
    <w:p>
      <w:r>
        <w:rPr>
          <w:b w:val="0"/>
        </w:rPr>
        <w:t>Jag tvistar inte, herr talman, med bankoutskottet. Bankoutskottet har precis samma uppfattning, som jag ursprungligen hade, och beträffande den saken råder inte något som helst tvivel. Jag medger också och har redan påpekat att de myndigheter, som ha att yttra sig över sådana ting som dessa, måste följa förordningarna. Det skulle vara orätt, om de inte det gjorde. Man vill veta, hur en sak ligger till, och följaktligen har man att inhämta detta av de myndigheter, som äro satta att övervaka att förordningarna följas.</w:t>
        <w:br/>
        <w:br/>
        <w:t xml:space="preserve">Men vad jag därutöver framhävde, det var att riksdagen och riksdagens utskott ha tillfälle, för den händelse de tycka att ett strängt tillämpande av en förordning skulle vara i viss mening orättvis, att skapa rättvisa. Riksdagen representerar nämligen någonting utöver vad myndigheterna representera. Myndigheterna representera förståndet, uteslutande förståndet, men riksdagen och dess utskott ha också tillfälle att representera hjärtat i en sak som denna. Det är därför jag här lagt upp frågan både ur förståndets och ur hjärtats synpunkter. Jag tycker att en förordning, som strängt tillämpad låter ett par veckor av en termin och en tjänstgöring vid ett annat läroverk under en annan termin inverka till den grad, att en </w:t>
      </w:r>
      <w:r>
        <w:rPr>
          <w:b/>
        </w:rPr>
        <w:t>lärarinna³</w:t>
      </w:r>
      <w:r>
        <w:rPr>
          <w:b w:val="0"/>
        </w:rPr>
        <w:t xml:space="preserve"> vid slutet av sin bana kommer att avlyftas från sin verksamhet med en pension på 217 plus 218 kronor, inte representerar det lämpligaste sättet att låta en annars duktig </w:t>
      </w:r>
      <w:r>
        <w:rPr>
          <w:b/>
        </w:rPr>
        <w:t>kvinna¹</w:t>
      </w:r>
      <w:r>
        <w:rPr>
          <w:b w:val="0"/>
        </w:rPr>
        <w:t xml:space="preserve"> göra sin sorti ur det arbetande livet. Det är ur denna synpunkt som jag menar, att riksdagen bör avtacka denna </w:t>
      </w:r>
      <w:r>
        <w:rPr>
          <w:b/>
        </w:rPr>
        <w:t>kvinna¹</w:t>
      </w:r>
      <w:r>
        <w:rPr>
          <w:b w:val="0"/>
        </w:rPr>
        <w:t xml:space="preserve"> på ett bättre sätt än ge-</w:t>
      </w:r>
    </w:p>
    <w:p>
      <w:pPr>
        <w:pStyle w:val="Heading2"/>
      </w:pPr>
      <w:r>
        <w:t>5. Olof Bergqvist (Högerns riksdagsgrupp, man)</w:t>
      </w:r>
    </w:p>
    <w:p>
      <w:r>
        <w:rPr>
          <w:b w:val="0"/>
        </w:rPr>
        <w:t xml:space="preserve">Herr talman! Jag hade inte tänkt yttra mig i detta ärende, men då jag har något tagit del av de handlingar, som angå </w:t>
      </w:r>
      <w:r>
        <w:rPr>
          <w:b/>
        </w:rPr>
        <w:t>lärarinnan³</w:t>
      </w:r>
      <w:r>
        <w:rPr>
          <w:b w:val="0"/>
        </w:rPr>
        <w:t xml:space="preserve"> Lämmerhirt och </w:t>
      </w:r>
      <w:r>
        <w:rPr>
          <w:b/>
        </w:rPr>
        <w:t>hennes²</w:t>
      </w:r>
      <w:r>
        <w:rPr>
          <w:b w:val="0"/>
        </w:rPr>
        <w:t xml:space="preserve"> tilläggspension, vill jag säga några ord.</w:t>
        <w:br/>
        <w:br/>
        <w:t xml:space="preserve">Det är ju alldeles givet, att statens myndigheter vid tillämpningen måste följa givna förordningars ordalydelse och de bestämmelser de innehålla. Därför kan man naturligtvis inte på något sätt klandra den pensionsanstalt, som enligt bestämmelserna i nådiga kungörelsen 1921 har vägrat </w:t>
      </w:r>
      <w:r>
        <w:rPr>
          <w:b/>
        </w:rPr>
        <w:t>lärarinnan³</w:t>
      </w:r>
      <w:r>
        <w:rPr>
          <w:b w:val="0"/>
        </w:rPr>
        <w:t xml:space="preserve"> Lämmerhirt den högre tilläggspensionen. Icke heller kan man klandra regeringsrätten, som har avslagit </w:t>
      </w:r>
      <w:r>
        <w:rPr>
          <w:b/>
        </w:rPr>
        <w:t>hennes²</w:t>
      </w:r>
      <w:r>
        <w:rPr>
          <w:b w:val="0"/>
        </w:rPr>
        <w:t xml:space="preserve"> besvär över denna pensionsanstalts beslut. Man måste också, 1 likhet med vad herr förste vice talmannen gjort, erkänna, att bankoutskottet formellt har fullkomligt rätt i sin uppfattning, ty om man vill, att en förordning skall tillämpas efter sin ordalydelse, har bankoutskottet icke kunnat komma till något annat resultat än det nu föreliggande. Det kan emellertid finnas gränsfall, där det kan synas ganska obilligt att strikt formellt tillämpa författningarnas ordalydelse, och i sådana fall har det hänt, att riksdagen inträtt jämkande och uppmjukande till förmån för de vederbörande, som kunnat anses komma i en mycket ofördelaktig ställning genom ett alltför formellt tillämpande av gällande förordningar. Sådant har ju inträffat många gånger, och nu förefaller det mig, som om det i detta fall förelåge ett sådant gränsfall, där man av billighetsskäl kunde något avvika ifrån den formella ordalydelsen i den kungörelse, som det här gäller.</w:t>
        <w:br/>
        <w:br/>
        <w:t xml:space="preserve">Det är, som herr förste vice talmannen påpekade, ett ganska högt pris som denna </w:t>
      </w:r>
      <w:r>
        <w:rPr>
          <w:b/>
        </w:rPr>
        <w:t>lärarinna³</w:t>
      </w:r>
      <w:r>
        <w:rPr>
          <w:b w:val="0"/>
        </w:rPr>
        <w:t xml:space="preserve"> får betala med 400 kronor om året så länge </w:t>
      </w:r>
      <w:r>
        <w:rPr>
          <w:b/>
        </w:rPr>
        <w:t>hon²</w:t>
      </w:r>
      <w:r>
        <w:rPr>
          <w:b w:val="0"/>
        </w:rPr>
        <w:t xml:space="preserve"> lever, för att </w:t>
      </w:r>
      <w:r>
        <w:rPr>
          <w:b/>
        </w:rPr>
        <w:t>hon²</w:t>
      </w:r>
      <w:r>
        <w:rPr>
          <w:b w:val="0"/>
        </w:rPr>
        <w:t xml:space="preserve"> mera av oförstånd råkat få en liten lucka i den föreskrivna tjänstgöringstiden. Det finns därför, tycker jag för min del, starka billighetsskäl, som tala för att kammaren skulle bifalla den i ärendet av herr Wahlmark väckta motionen.</w:t>
        <w:br/>
        <w:br/>
        <w:t xml:space="preserve">Nu är det ju visserligen så, att riksdagen i dylika fall plägar iakttaga stor försiktighet med hänsyn till de eventuella konsekvenserna av en avvikelse ifrån den rent formella tolkningen, men i detta fall lär det förhålla sig så, att inga konsekvenser behöva befaras. Denna </w:t>
      </w:r>
      <w:r>
        <w:rPr>
          <w:b/>
        </w:rPr>
        <w:t>lärarinna³</w:t>
      </w:r>
      <w:r>
        <w:rPr>
          <w:b w:val="0"/>
        </w:rPr>
        <w:t xml:space="preserve"> torde vara den enda kvarstående av den kategori </w:t>
      </w:r>
      <w:r>
        <w:rPr>
          <w:b/>
        </w:rPr>
        <w:t>lärarinnor³</w:t>
      </w:r>
      <w:r>
        <w:rPr>
          <w:b w:val="0"/>
        </w:rPr>
        <w:t>, som det här gäller. Stockholms stads folkskolinspektör, Bror Jonzon, lär ha underkastat frågan en undersökning, och han säger, att man nog inte vidare har att vänta något sådant fall. Därför tror jag inte heller, att farhågorna för konsekvenser behöva lägga hinder 1 vägen för ett bifall till motionen.</w:t>
        <w:br/>
        <w:br/>
        <w:t>Jag ber, herr talman, med dessa ord att få för min del yrka bifall till de i ärendet väckta motionerna.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789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