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2109</w:t>
      </w:r>
    </w:p>
    <w:p>
      <w:r>
        <w:rPr>
          <w:b/>
        </w:rPr>
        <w:t xml:space="preserve">Datum: </w:t>
      </w:r>
      <w:r>
        <w:t>1937-05-04</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Abel Sundberg (Socialdemokraterna, man)</w:t>
      </w:r>
    </w:p>
    <w:p>
      <w:r>
        <w:rPr>
          <w:b w:val="0"/>
        </w:rPr>
        <w:t>Herr förste vice talman! Den föregående talaren, som är ensam reservant, anför i sin reservation att ifrågavarande stadganden i de lagparagrafer, varom här är fråga, ha sin grund i religiös åskådning och sed, som alltjämt äga djupa rötter hos Sveriges folk.</w:t>
        <w:br/>
        <w:br/>
        <w:t>Jag hyser stor respekt för den religiösa åskådningen och vill ingalunda förneka att den har djupa rötter hos Sveriges folk. Men, herr talman, när man använder sig av liknelsen om rötter må man betänka, att sådana finnas av olika slag. En hel del rötter äro synnerligen smidiga och fina, en hel del andra äro grövre, och framför allt äro en hel del rötter kolossalt vresiga. I fråga om de religiösa åskådningarna har ju västkusten en riksbekant särprägel, och detta gör att jag finner anledning säga att om dessa rötter där nere äro djupare än annorstädes i landet, så äro de också mycket vresigare.</w:t>
        <w:br/>
        <w:br/>
        <w:t>Jag har i likhet med motionärerna i första kammaren haft möjlighet att av de tilltalades rättegångsbiträde få en viss redogörelse för denna fråga. Jag har likaså haft tillfälle tala med en hel del personer där nere i Åsa, som äro ägare till småstugor, och dessa människor ha också beskrivit hur det egentligen gått till när de som föranstaltat om dessa åtal blivit störda. Motionärerna i första kammaren tala också om detta och säga, att det framgår »att</w:t>
        <w:br/>
        <w:br/>
        <w:t>Där nere i Åsa har det omtalats för mig av redbara och ärliga människor, vilkas ord man har all anledning sätta tro till, hur det gått till när en del personer kunnat bli störda. I motionen säges att det företagits razzior, och det är verkligen på det sättet att vissa personer — för att överhuvud taget kunna bli störda — måst sända ut spaningspatruller i omgivningarna som överrumplat vederbörande stugägare för att komma i tillfälle att angiva dem. Det har sagts mig, vilket också säges i motionen, att sådana patruller, som inte kunnat upptäcka att något arbete försiggått utomhus, helt enkelt gått fram och öppnat dörren och stigit in. Man har inte ens använt den sedvanliga artigheten att knacka på dörren, då man misstänkt att något skulle hinna plockas undan. Det har t. o. m. förekommit fall då stugägare, som i avsides liggande stugor, belägna långt från allfarväg, målat sina fönsterbågar i skydd av buskar och träd, överraskats av en sådan patrull och angivits. Som alla veta kan ett målningsarbete ingalunda vara bullrande eller störande. |</w:t>
        <w:br/>
        <w:br/>
        <w:t>Det är ju mindre vackra tillvägagångssätt som använts, och jag har velat begagna tillfället att relatera, hur sådant där åtminstone i några fall kunnat försiggå, enligt trovärdiga personer. Metoden tyder inte på någon vidare from och kärleksfull känsla. När man enligt min åsikt i stället borde i stilla frid ha suttit hemma och hållit sabbaten i helgd, har man givit sig ut på sådana många gånger ganska ansträngande patrullfärder för att kunna bli i tillfälle att finna sin känsla störd och irriterad.</w:t>
        <w:br/>
        <w:br/>
        <w:t xml:space="preserve">I fråga om religiositetens rötter visa sig ju nyanserna synnerligen väl, om man studerar det religiösa livets växlingar över hela riket. Detta aktuella fall ledde till en enquéte i en tidning, som talade med vissa prästmän. Kyrkoherden nere i Åsa gör följande uttalande i tidningen: »Vi hålla oss här till Guds ord. Det står inte mellan klockan 11 och 1, utan sabbatsdagen.» Och han fortsätter: »Vi vilja ha sabbatsfrid. Om de inte ha annan tid, får det vara med bygget.» Han vill således säga att om en arbetare eller tjänsteman eller vem det vara må har möjlighet att skaffa sig en liten stuga, där </w:t>
      </w:r>
      <w:r>
        <w:rPr>
          <w:b/>
        </w:rPr>
        <w:t>hustru²</w:t>
      </w:r>
      <w:r>
        <w:rPr>
          <w:b w:val="0"/>
        </w:rPr>
        <w:t xml:space="preserve"> och barn kunna få tillfälle till sommarvistelse i lugn och ro men inte själv kan klarera förekommande arbeten på annat sätt än genom att i viss mån ta söndagar och helgdagar till hjälp, då skall han låta bli detta och låta </w:t>
      </w:r>
      <w:r>
        <w:rPr>
          <w:b/>
        </w:rPr>
        <w:t>hustru²</w:t>
      </w:r>
      <w:r>
        <w:rPr>
          <w:b w:val="0"/>
        </w:rPr>
        <w:t xml:space="preserve"> och barn stanna kvar i storstaden.</w:t>
        <w:br/>
        <w:br/>
        <w:t>En annan prästman som inte är tjänstgörande nere på västkusten utan här uppe i Stockholm, alltså i en trakt av landet, där dessa rötter ha en något annan nyans än på västkusten, säger i samma tidningsintervju — det är komminister Krook —: »Det är välbefogat att söka skapa helg och söndagsvila i vår rastlösa tid, och det är förståeligt om schartauanerna reagera. Men man måste söka vägar som nutidens människor kunna gå, 1 synnerhet de unga. Tänk på Jesu ord: Sabbaten är till för människans skull och icke människan för sabbatens. I Mästarens ögon kanske t. o. m. timrandet på ett hem i vissa fall skulle ha godtagits som ett värdigt sabbatsfirande.&gt; Han anser emellertid, liksom också jag, att arbetet i fråga naturligtvis inte får vara störande ur ordningssynpunkt.</w:t>
        <w:br/>
        <w:br/>
        <w:t>Det är dessa synpunkter jag har velat framhålla, och det är med stor glädje Jag antecknar, att de attacker som där nere gjorts emot dessa fridsamma medborgare, i viss utsträckning ha aktualiserat frågan och nu medfört att en väl-</w:t>
        <w:br/>
        <w:br/>
        <w:t>Ett belysande exempel på en sådan ordningsstadgesynpunkt som man kan anlägga på problemet erfor jag nu i söndags när jag vid promenad denna vackra middag gick ut på den i förnäm avskildhet liggande Riddarholmen och besökte den ärevördiga Riddarholmskyrkan. Då jag kommer ut på Birger Jarls torg stötes mitt öra av ett intensivt klappande, det lät som om man piskade kläder eller något sådant. Jag kunde inte tänka mig att man piskade kläder på denna söndagsmiddag, utanför den ärevördiga kyrkan och vid detta tillfälle, när det dock var besökstid. Jag går snett över torget och kommer fram till ett stort hus med en gallergrind, varigenom man kunde se in på gården — där ett par unga människor verkligen äro i full färd med att piska soffkuddar och sängkläder. Det var ju ett förfärligt oväsen, som man vet att det blir när man piskar stoppade möbler. Jag blev synnerligen förvånad, det var inga religiösa känslor precis som stöttes hos mig, men mitt ordningssinne stöttes, ty vad jag upptäckt var verkligen ett brott mot allt vad ordning heter. Nu vet jag inte, herr talman, vad det var för folk som bodde där, men på inskriptionen över porten kunde man läsa namnet på ett kungl. ämbetsverk! .</w:t>
        <w:br/>
        <w:br/>
        <w:t>Herr talman! Jag ber att få yrka bifall till utskottets förslag.</w:t>
      </w:r>
    </w:p>
    <w:p>
      <w:pPr>
        <w:pStyle w:val="Heading2"/>
      </w:pPr>
      <w:r>
        <w:t>2. Thorwald Bergquist (Folkpartiet, man)</w:t>
      </w:r>
    </w:p>
    <w:p>
      <w:r>
        <w:rPr>
          <w:b w:val="0"/>
        </w:rPr>
        <w:t>Herr talman! I denna fråga, ändring av strafflagens bestämmelser om sabbatsbrott, föreligga två motioner, den ena väckt i första kammaren och den andra i denna kammare. Motionerna utmynna i olika yrkanden. I den i första kammaren väckta motionen hemställes direkt att riksdagen för sin del omedelbart måtte upphäva det lagstadgande, enligt vilket straff skall utgå för arbete på sabbat, under det att i den motion som väckts i denna kammare yrkas, att riksdagen måtte hos Kungl. Maj:t begära en utredning i syfte att få detta stadgande och ett annat stadgande i samma kapitel i överensstämmelse med nutida rättsuppfattning.</w:t>
        <w:br/>
        <w:br/>
        <w:t xml:space="preserve">Första lagutskottet har icke ansett sig kunna ansluta sig till det yrkande som framställts i den i första kammaren väckta motionen, om omedelbart upphävande av detta straffstadgande, men har däremot funnit sig böra tillstyrka den motion som väckts av </w:t>
      </w:r>
      <w:r>
        <w:rPr>
          <w:b/>
        </w:rPr>
        <w:t>fru²</w:t>
      </w:r>
      <w:r>
        <w:rPr>
          <w:b w:val="0"/>
        </w:rPr>
        <w:t xml:space="preserve"> Nordgren m. fl. Det visar sig, när man undersöker detta straffstadgande, att det gäller en bestämmelse som användes i mycket ringa omfattning, fastän man vet att brott mot densamma, om den skulle tillämpas strängt, begås i synnerligen stor omfattning. Redan denna omständighet tyder ju på att det måste vara något fel med straffbestämmelsen och att denna inte motsvarar nutida rättsuppfattning. Utskottet har särskilt fäst sig vid att detta lagstadgande hör till de mest oklara och otydliga lagbestämmelser som vi ha, och det har också visat sig i praxis hur svårtilllämpad denna paragraf är och hur olika uppfattning domstolarna haft beträffande tillämpningen av den. Utskottet har ansett att anledningen till otydligheten i mycket ligger däri, att detta lagstadgande tagits in under religionsbrotten. Straff ådömes alltså enbart ur den synpunkten att arbete på sabbat kränker religionen. Vi ha funnit att man säkerligen skulle ha mycket att vinna, om man i första hand betraktade saken ur annan synpunkt, nämligen ur den synpunkten att ett arbete under sabbat i många fall kan innebära ett störande av den frid som varje människa har rätt att kräva på vilodagen. Och med hänsyn till detta ha vi funnit att denna straffbestämmelse, som givetvis</w:t>
        <w:br/>
        <w:br/>
        <w:t>Utskottet har därvid emellertid ingalunda förbisett att man här icke får bortse från de religiösa värdena. Man kan inte bortse från de religiösa synpunkterna, och vi ha klart och tydligt i vårt utlåtande sagt ifrån, att uppmärksamheten måste fästas även därvid.</w:t>
        <w:br/>
        <w:br/>
        <w:t>Det är alltså dessa skäl — huvudsakligen den bristande klarheten i den nuvarande lagbestämmelsen och dess oriktiga rubricering — som gjort att utskottet ansett sig böra hemställa om en utredning, och jag ber,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2109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