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806</w:t>
      </w:r>
    </w:p>
    <w:p>
      <w:r>
        <w:rPr>
          <w:b/>
        </w:rPr>
        <w:t xml:space="preserve">Datum: </w:t>
      </w:r>
      <w:r>
        <w:t>1937-06-04</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Sigfrid Hansson (Socialdemokraterna, man)</w:t>
      </w:r>
    </w:p>
    <w:p>
      <w:r>
        <w:rPr>
          <w:b w:val="0"/>
        </w:rPr>
        <w:t>Herr talman! Jag hemställer beträffande föredragningen av detta utlåtande, att detsamma må företagas till avgörande punktvis samt vardera av punkterna A och B 1 på det sättet, att till en början föredrages utskottets lagförslag paragrafvis och där så erfordras även momentvis, med promulgationsstadgande, ingress och rubrik sist, varefter utskottets hemställan föredrages, att vid behandlingen av den paragraf, varom först uppstår överläggning, denna må omfatta utlåtandet i dess helhet, samt att lagtext ej må behöva uppläsas i vidare mån, än sådant av någon kammarens ledamot begäres.</w:t>
        <w:br/>
        <w:br/>
        <w:t xml:space="preserve">I de fall, som nedan i denna lag angivas, skall av allmänna medel särskilt bidrag (barnbidrag) utgå till uppehälle och uppfostran åt barn, vars föräldrar, adoptivföräldrar, fader, adoptant eller adoptants make avlidit, eller vars fader, styvfader, </w:t>
      </w:r>
      <w:r>
        <w:rPr>
          <w:b/>
        </w:rPr>
        <w:t>moder²</w:t>
      </w:r>
      <w:r>
        <w:rPr>
          <w:b w:val="0"/>
        </w:rPr>
        <w:t>, adoptant eller adoptants make är arbetsoförmögen.</w:t>
        <w:br/>
        <w:br/>
        <w:t>Såsom arbetsoförmögen anses i denna lag den, som på grund av varaktig oförmåga till arbete är berättigad till folkpension enligt lagen om folkpensionering.</w:t>
      </w:r>
    </w:p>
    <w:p>
      <w:pPr>
        <w:pStyle w:val="Heading2"/>
      </w:pPr>
      <w:r>
        <w:t>2. Nils Holmström (–, man)</w:t>
      </w:r>
    </w:p>
    <w:p>
      <w:r>
        <w:rPr>
          <w:b w:val="0"/>
        </w:rPr>
        <w:t>: Herr talman! Jag skall anhålla att få yttra mig om de två framlagda förslagen.</w:t>
        <w:br/>
        <w:br/>
        <w:t>Jag ber att få erinra om att för någon tid sedan, då här i kammaren behandlades frågan om dyrortsgrupperade folkpensioner, herr statsrådet och chefen för socialdepartementet höll ett anförande, i vilket han »deklasserade fattigvården», som jag uttryckte mig, då jag ansåg mig ha anledning att reagera mot hans uttalande. Det är samma anda av deklassering av fattigvården, som ligger till grund för de nu framlagda förslagen. Barnpensioneringssakkunniga ha i sina betänkanden sagt många förnedrande ord om fattigvården, varav det mildaste kanske är, att det är »förödmjukande» att vända sig dit. Det är emot detta, som jag ånyo ber att få reagera.</w:t>
        <w:br/>
        <w:br/>
        <w:t>Varifrån underblåses denna anda? Ja, den kommer från människor, som</w:t>
        <w:br/>
        <w:br/>
        <w:t xml:space="preserve">bruka kalla sig »socialt intresserade», men som i regel äro ganska okunniga om hur det sociala hjälparbetet bedrives. Den underblåses också av folkpensionsintresserat folk, och jag vågar säga, att självaste kungl. pensionsstyrelsen i det stycket icke är oskyldig. Jag vill fråga: är det rättvist och klokt att driva en sådan propaganda? Ar det rättvist mot de män och </w:t>
      </w:r>
      <w:r>
        <w:rPr>
          <w:b/>
        </w:rPr>
        <w:t>kvinnor¹</w:t>
      </w:r>
      <w:r>
        <w:rPr>
          <w:b w:val="0"/>
        </w:rPr>
        <w:t>, som arbeta inom fattigvården, i fattigvårdsstyrelserna eller såsom funktionärer? Är det någon, som verkligen på allvar kan vilja göra gällande, att en ledamot av en barnavårdsnämnd eller en ledamot av pensionsnämnd är en klokare, humanare och mera vidsynt människa än en ledamot i en fattigvårdsstyrelse?</w:t>
        <w:br/>
        <w:br/>
        <w:t xml:space="preserve">Jag fäster mig inte vid det, ty vi som arbeta inom fattigvården äro vana att få klander. Nej, jag reagerar emot det av hänsyn till de människor, som behöva anlita fattigvården. Förstå ni inte, mina herrar, hur bittert det måste kännas för en gammal man eller en gammal </w:t>
      </w:r>
      <w:r>
        <w:rPr>
          <w:b/>
        </w:rPr>
        <w:t>kvinna¹</w:t>
      </w:r>
      <w:r>
        <w:rPr>
          <w:b w:val="0"/>
        </w:rPr>
        <w:t xml:space="preserve">, som måste anlita fattigvården, att få höra detta tal om att det är förödmjukande för honom eller för </w:t>
      </w:r>
      <w:r>
        <w:rPr>
          <w:b/>
        </w:rPr>
        <w:t>henne²</w:t>
      </w:r>
      <w:r>
        <w:rPr>
          <w:b w:val="0"/>
        </w:rPr>
        <w:t xml:space="preserve"> att göra det. Och är det klokt att på sådant sätt uppdela de människor, som behöva anlita samhällets hjälp, i klasser; att skapa fram en över-</w:t>
        <w:br/>
        <w:br/>
        <w:t>klass av understödstagare — de som få understöd från barnavårdsnämnden eller pensionsnämnden 0. s. v. — och en underklass — de, som måste anlita fattigvården.</w:t>
        <w:br/>
        <w:br/>
        <w:t xml:space="preserve">Jag skall taga ett exempel. Och jag går rakt på sak. Det här föreliggande lagförslaget om förskottering av underhållsbidrag till barn gynnar de utomäktenskapliga förbindelserna och särskilt dem av mera tillfällig art. Första paragrafen säger: »Barn, vars fader enligt rättens beslut eller skriftligt, av två personer bevittnat avtal är pliktig att till fullgörande av lagstadgad underhållsskyldighet utgiva underhållsbidrag till barnet, äger att, sedan förfallodag för bidraget förflutit utan att bidraget guldits, med belopp och under villkor som nedan sägs av allmänna medel erhålla förskott å bidraget.» I andra stycket heter det: »Vad sålunda stadgats skall icke äga tillämpning 1 fråga om barn, vars </w:t>
      </w:r>
      <w:r>
        <w:rPr>
          <w:b/>
        </w:rPr>
        <w:t>moder²</w:t>
      </w:r>
      <w:r>
        <w:rPr>
          <w:b w:val="0"/>
        </w:rPr>
        <w:t xml:space="preserve"> sammanbor med barnets fader.»</w:t>
        <w:br/>
        <w:br/>
        <w:t xml:space="preserve">Det gäller utomäktenskapliga barn. En </w:t>
      </w:r>
      <w:r>
        <w:rPr>
          <w:b/>
        </w:rPr>
        <w:t>kvinna¹</w:t>
      </w:r>
      <w:r>
        <w:rPr>
          <w:b w:val="0"/>
        </w:rPr>
        <w:t xml:space="preserve">, som har ett mera regelmässigt förhållande till barnets fader, utan att vara gift med honom, står utanför lagens bestämmelser. Men en </w:t>
      </w:r>
      <w:r>
        <w:rPr>
          <w:b/>
        </w:rPr>
        <w:t>kvinna¹</w:t>
      </w:r>
      <w:r>
        <w:rPr>
          <w:b w:val="0"/>
        </w:rPr>
        <w:t xml:space="preserve">, som har tillfälliga förbindelser med än den ene och än den andre, kanske bor en tid med en man och blir </w:t>
      </w:r>
      <w:r>
        <w:rPr>
          <w:b/>
        </w:rPr>
        <w:t>moder²</w:t>
      </w:r>
      <w:r>
        <w:rPr>
          <w:b w:val="0"/>
        </w:rPr>
        <w:t xml:space="preserve">, sedan bor en tid med en annan man och blir </w:t>
      </w:r>
      <w:r>
        <w:rPr>
          <w:b/>
        </w:rPr>
        <w:t>moder²</w:t>
      </w:r>
      <w:r>
        <w:rPr>
          <w:b w:val="0"/>
        </w:rPr>
        <w:t xml:space="preserve"> — </w:t>
      </w:r>
      <w:r>
        <w:rPr>
          <w:b/>
        </w:rPr>
        <w:t>hon²</w:t>
      </w:r>
      <w:r>
        <w:rPr>
          <w:b w:val="0"/>
        </w:rPr>
        <w:t xml:space="preserve"> skall gynnas av lagen.</w:t>
        <w:br/>
        <w:br/>
        <w:t xml:space="preserve">Tänk er nu, mina herrar, en gammal hederlig gumma, som har gjort ifrån sig sitt livsdagsverke och som på sin ålderdom behöver hjälp av fattigvården! Jämför den gamla </w:t>
      </w:r>
      <w:r>
        <w:rPr>
          <w:b/>
        </w:rPr>
        <w:t>kvinnan¹</w:t>
      </w:r>
      <w:r>
        <w:rPr>
          <w:b w:val="0"/>
        </w:rPr>
        <w:t xml:space="preserve"> med en sådan där </w:t>
      </w:r>
      <w:r>
        <w:rPr>
          <w:b/>
        </w:rPr>
        <w:t>flicka²</w:t>
      </w:r>
      <w:r>
        <w:rPr>
          <w:b w:val="0"/>
        </w:rPr>
        <w:t xml:space="preserve">, som genom tillfälliga förbindelser blir </w:t>
      </w:r>
      <w:r>
        <w:rPr>
          <w:b/>
        </w:rPr>
        <w:t>moder²</w:t>
      </w:r>
      <w:r>
        <w:rPr>
          <w:b w:val="0"/>
        </w:rPr>
        <w:t xml:space="preserve"> till ett eller flera barn! Den sista </w:t>
      </w:r>
      <w:r>
        <w:rPr>
          <w:b/>
        </w:rPr>
        <w:t>kvinnan¹</w:t>
      </w:r>
      <w:r>
        <w:rPr>
          <w:b w:val="0"/>
        </w:rPr>
        <w:t xml:space="preserve"> betraktas som så fin, att </w:t>
      </w:r>
      <w:r>
        <w:rPr>
          <w:b/>
        </w:rPr>
        <w:t>hon²</w:t>
      </w:r>
      <w:r>
        <w:rPr>
          <w:b w:val="0"/>
        </w:rPr>
        <w:t xml:space="preserve"> inte får besudlas med något så förnedrande som att vända sig till fattigvården. Men den där gamla hederliga gumman skall behöva underkasta sig den — som man vill mena — förödmjukelsen. Jag tycker, att detta exempel talar sitt ganska tydliga språk om vad jag menar, när jag reagerar mot hela denna propaganda, vilken, som jag nyss sade, syftar till att deklassera fattigvården.</w:t>
        <w:br/>
        <w:br/>
        <w:t>Jag skall av hänsyn till den sena tidpunkten på riksdagen inte bli mångordig. Jag ber att få instämma i vad reservanterna, herrar Skoglund och Wistrand, uttalat, då de anse, att detta lagförslag bör avslås.</w:t>
        <w:br/>
        <w:br/>
        <w:t>Jag läser på sidan 12 i utskottets utlåtande: »Enligt nu ifrågavarande förslag skola ärenden rörande barnbidrag handhavas av pensionsnämnderna och pensionsstyrelsen samt ärenden rörande bidragsförskott av barnavårdsnämnderna.» Man inför alltså här hjälpåtgärder, som man fördelar — »splittrar» -— på två institutioner i kommunen, pensionsnämnden och barnavårdsnämnden. Så säger utskottet: »Utskottet vill i detta sammanhang erinra, att andra lagutskottet 1 sitt utlåtande nr 50 föreslagit riksdagen att hos Kungl. Maj:t anhålla om en översyn av lagstiftningen rörande samhällets hjälpverksamhet, därvid frågan om en rationell organisation av denna verksamhet borde ägnas särskild uppmärksamhet. Obestridligt är, såsom departementschefen framhållit, att den nu föreslagna organisationen kommer att medföra ytterligare splittring inom socialvården.&gt; Och utskottet fortsätter: »Då utskottet nu tillstyrker den av Kungl. Maj:t föreslagna organisationen av barnbidragsverksamheten, sker detta under förutsättning, att vid den allmänna översyn, som kan förväntas, denna fråga underkastas förnyad prövning, därvid lämpligheten att anförtro barnavårdsnämnderna denna verksamhet bör övervägas.» Man läser ju mellan raderna här, att utskottet ber om ursäkt för att det kommer fram med detta förslag.</w:t>
        <w:br/>
        <w:br/>
        <w:t>Jag frågar: kan det vara klokt att i samma andedrag som riksdagen påpekar att splittring råder inom socialvården och begär utredning om dess rationalisering, riksdagen ytterligare utvidgar denna splittring? Bör det inte vara klokare att låta detta anstå i avvaktan på den utredning, som riksdagen begärt och som herr statsrådet och chefen för socialdepartementet flera gånger och även i sitt yttrande till detta lagförslag har ställt i utsikt. Det är inte någon så särdeles stor brådska med detta. Dessa barn ha dock klarat sig ganska bra hittills. Har det brustit på något enstaka håll, så vill jag påstå, att det inte är den nuvarande lagstiftningens fel. Det har berott på de kommunala organen, som inte haft tillräckligt sinne för denna sak och inte kunnat tilllämpa lagen. Sådana fall äro säkerligen mycket snart räknade i vårt land och hänföra sig till en längre tillbaka liggande tid. Vår nuvarande lagstiftning ger faktiskt dessa barn deras rätt.</w:t>
        <w:br/>
        <w:br/>
        <w:t>Att det råder osäkerhet hos dem som föreslå de nya lagarna framgår ju också av utskottets specialmotiveringar. Där säges under 9 $ 2 mom.: »Departementschefen, som beaktat behovet av en samverkan mellan olika hjälporgan, har såsom sin mening uttalat, att föreskrifter rörande formerna för ett dylikt samarbete icke borde meddelas, förrän praxis givit anvisning på den lämpligaste av de olika möjligheter, som kunde ifrågakomma.» Så pass osäker på saken är departementschefen. Nu har visserligen utskottet genom utvidgningen av denna paragraf försökt råda bot på detta, sådan den nu kan vara.</w:t>
        <w:br/>
        <w:br/>
        <w:t>Sedan säger utskottet angående 5 $ i den andra lagen: »Skulle erfarenheterna vid lagtilliämpningen giva vid handen, att bestämmelsen erhållit en mindre</w:t>
        <w:br/>
        <w:br/>
        <w:t>Med dessa, som jag försäkrar, herr talman, få ord anhåller jag att få yrka avslag på förslagen.</w:t>
      </w:r>
    </w:p>
    <w:p>
      <w:pPr>
        <w:pStyle w:val="Heading2"/>
      </w:pPr>
      <w:r>
        <w:t>3. Gunnar Myrdal (Socialdemokraterna, man)</w:t>
      </w:r>
    </w:p>
    <w:p>
      <w:r>
        <w:rPr>
          <w:b w:val="0"/>
        </w:rPr>
        <w:t>Herr talman! Riksdagen är nu, om den beslutar enligt utskottets förslag, ånyo i färd med att förverkliga en stor och viktig reform av barnavårdande och familjevärnande karaktär. Det viktiga att här påpeka och understryka är den stora enighet, som råder i frågan. Ilerr Holmströms avslagsyrkande nyss är i själva verket bara att anse som ett undantag, som blott bekräftar regeln.</w:t>
        <w:br/>
        <w:br/>
        <w:t>Herr Holmström hade två väsentliga invändningar, två väsentliga argument för sitt avslagsyrkande. Det ena var principiellt och innebar, att dessa båda lagar skulle betyda ett nytt steg på vägen att deklassera fattigvården. Jag måste nog räkna mig till de — om jag skrev upp rätt, vad herr Holmström sade — »socialt intresserade personer i Sverige, som äro ganska okunniga om sociala förhållanden», när jag menar, att det hör till de allra viktigaste och angelägnaste sakerna i svensk socialpolitik, att man tar bort barnavården från fattigvården, att man alltså sörjer för hjälp åt barnen på annat sätt än genom fattigvården. Och jag. vill påpeka för herr Holmström, att i det hänseendet tycks jag befinna mig i mycket gott sällskap, eftersom även hans egna partivänner i utskottet ha givit sitt bistånd till detta förslag, som i själva verket bygger på den grundsatsen, att barnavården i själva verket icke hör fattigvården till.</w:t>
        <w:br/>
        <w:br/>
        <w:t>Det är klart, att så länge vi ha en fattigvård, gäller det för oss att se till, att denna är så bra som den möjligtvis kan vara. Men vi äro ju sedan flera decennier i färd med att utfinna de vägar, varigenom vi för olika kategorier, den ena efter den andra, kunna sörja på ett bättre sätt än genom fattigvården. Jag vill understryka, att en kritik av den principiella typ, som herr Holmström levererat mot dessa båda lagförslag, skjuter så uppenbart över målet, att den inte gärna kan tas på allvar. Den skulle i själva verket gälla hela den socialpolitik, som så småningom har genomdrivits under årens lopp genom tämligen enhälliga beslut i riksdagens kamrar.</w:t>
        <w:br/>
        <w:br/>
        <w:t xml:space="preserve">När herr Holmström säger, att man genom denna förskotteringsverksamhet skulle »gynna de utomäktenskapliga förbindelserna», kan jag, som under det senaste året har kommit att syssla en del med att utreda beskaffenheten av både utomäktenskapliga och inomäktenskapliga förbindelser, inte låta bli att dra på munnen åt denna föreställning. Föreställningen skulle väl vara den, att en </w:t>
      </w:r>
      <w:r>
        <w:rPr>
          <w:b/>
        </w:rPr>
        <w:t>kvinna¹</w:t>
      </w:r>
      <w:r>
        <w:rPr>
          <w:b w:val="0"/>
        </w:rPr>
        <w:t xml:space="preserve"> skulle inlåta sig på en könsförbindelse för att bii havande i syfte att därefter kunna utvinna en förskottering av underhållsbidrag, om nämligen </w:t>
      </w:r>
      <w:r>
        <w:rPr>
          <w:b/>
        </w:rPr>
        <w:t>hon²</w:t>
      </w:r>
      <w:r>
        <w:rPr>
          <w:b w:val="0"/>
        </w:rPr>
        <w:t xml:space="preserve"> och barnafadern skulle befinna sig i en sådan ställning, att detta vore möjligt. Jag tror nu, att det är en fullkomlig illusion från herr Holmströms sida, att unga </w:t>
      </w:r>
      <w:r>
        <w:rPr>
          <w:b/>
        </w:rPr>
        <w:t>kvinnor¹</w:t>
      </w:r>
      <w:r>
        <w:rPr>
          <w:b w:val="0"/>
        </w:rPr>
        <w:t xml:space="preserve"> i större utsträckning skulle handla, drivna av sådana motiv. Det finns nog andra motiv, som äro tillräckligt starka för att leda till att det blir utomäktenskapliga barn. Hjälpen är ju helt och hållet till för barnens skull, icke för </w:t>
      </w:r>
      <w:r>
        <w:rPr>
          <w:b/>
        </w:rPr>
        <w:t>mödrarnas²</w:t>
      </w:r>
      <w:r>
        <w:rPr>
          <w:b w:val="0"/>
        </w:rPr>
        <w:t>. Det finns i lagen en särskild paragraf, som ålägger barnavårdsnämnd att noga övervaka, att medlen komma barnen till godo. Och detta lär väl hindra modern att få en sådan profit, att utomäktenskapliga förbindelser på grund därav skulle vara lönande.</w:t>
        <w:br/>
        <w:br/>
        <w:t>Medan herr Holmströms första argument gällde båda lagarna och ledde honom att yrka ett absolut avslag på tanken, så gällde, såvitt jag förstod, hans andra argument bara förskotteringsverksamheten, och där drev han inte sitt yrkande längre än att vi skulle vila på reformen, till dess vi hade den bättre utredd. Han påpekade, hurusom frågan om socialvårdens organisation är aktuell och snart kan och bör komma under utredning och menade, att vi inte ytterligare böra öka splittringen i den svenska socialpolitiken.</w:t>
        <w:br/>
        <w:br/>
        <w:t>Den splittring, som vi ha på socialvårdens område, kan från organisatorisk synpunkt te sig såsom mycket beklagansvärd. Men den är dock i själva verket 1 sista hand just resultatet av det kraftiga sociala reformarbete, som har drivits under den sista tiden. Och ser man i detta reformarbete något som är högeligen önskvärt och något som rent av är nödvändigt, då kan man naturligtvis inte tveka att genomföra stora reformer, även om denna splittring skulle ökas och även om man icke från början kan finna den rätta organisationsformen. För min del hyser jag den uppfattningen, att man även på socialpolitikens område har att gå stegvis, har att pröva sig fram, att göra, om uttrycket tillåtes, experiment och att därför vara beredd att så småningom anpassa lagarna till att allt bättre svara till sina ändamål. Det viktiga är dock, att vissa konkreta reformer göras, att vissa människor hjälpas på ett lämpligt sätt, och sedan blir det vår sak, mina herrar, i riksdagen att under kommande år söka få så mycket system och reda som möjligt i verksamheten. Jag tror för övrigt, att detta tal om splittring i socialvården är betydligt överdrivet, och jag misstänker att några — ehuru lyckligtvis inte många — använda detta tal för att hämma det socialpolitiska reformarbetet.</w:t>
        <w:br/>
        <w:br/>
        <w:t>Som jag ser denna reform — om jag återvänder till herr Holmströms första argument — är min kritik snarare den, att det är vissa viktiga hjälpbehövande grupper av barn, som inte blivit hjälpta. Dit höra barnen i de fattiga, mycket barnrika familjerna. Det pågår emellertid utredning om den saken, och riksdagen lär väl ganska snart, kanske redan nästa år, stå inför avgörandet, hur den skall finna en lämplig form att hjälpa även dessa. Till de uteslutna kategorierna höra också dessa stackars barn, som inte ha kunnat få en fader fastställd. Sakkunniginstanser i långa rader, med den kommitte, som har gjort det förslag, varpå propositionen bygger, i spetsen och med departementschefens understrykande, hava framhållit, att dessa barns läge är särskilt behjärtansvärt. När nu utskottet i sin motivering ger uttryck åt den förhoppningen att frågan om hjälp i någon form åt även dessa barn snart måtte upptagas till prövning, tror jag, att socialministern inte skall låta denna förhoppning komma på skam.</w:t>
        <w:br/>
        <w:br/>
        <w:t>Vad gäller organisationsfrågan vill jag, och jag är där överens med utskottet, delvis ge kritikerna rätt i att vi inte ha lyckats få den organisationsform, som är den bästa möjliga. Genom att dessa båda verksamheter ha lagts på skilda kommunala nämnder ha lagbestämmelserna inte kunnat givas en önskvärd konformitet. När vi lagt barnbidragsverksamheten på pensionsnämnderna i stället för på barnavårdsnämnderna ha vi gjort någonting, som är något annat än det naturliga, ty det naturliga är dock att lämna barnbidragsverksamheten åt barnavårdsnämnderna, som äro samhällets lokala organ för barnavården. Det kan inte nekas, att det principiellt är att beklaga, att inkomstuppskattningen 1 förskotteringsverksamheten har måst utformas mindre sakligt strängt än 1 bidragsverksamheten och att den löpande kontrollen i förskottsverksamheten inte är så förnämlig som den kunnat göras i bidragsverksamheten, där man ju har hjälp av pensionsstyrelsens ombud.</w:t>
        <w:br/>
        <w:br/>
        <w:t>Det skäl, som dock här talat för att bidragsverksamheten skulle lämnas åt pensionsnämnderna, är ju, att barnavårdsnämnderna för närvarande inte äro</w:t>
        <w:br/>
        <w:br/>
        <w:t>Inom utskottet har det varit en stark majoritet, som ju också framgår av utskottets utlåtande, för den principiella tanken att barnbidragsverksamheten hör barnavårdsnämnderna till och att, även om man provisoriskt godtager pensionsnämnderna som organ för denna verksamhet, man dock motser, att det skall tagas under förnyad prövning mycket snart, hur denna verksamhet skall kunna läggas över till barnavårdsnämnderna, varvid man ju, som jag ser det, kan komma att rationalisera båda dessa verksamheter mer än nu blivit fallet.</w:t>
        <w:br/>
        <w:br/>
        <w:t>För mig är det emellertid inte enbart organisatoriska skäl, som göra att Jag med särskild tillfredsställelse har varit i tillfälle att underteckna ett utskottsutlåtande, där denna passus i motiveringen finnes, utan det är också vissa principiella skäl. Jag vill erinra om att det dock har framskymtat under denna frågas tidigare diskussion och till och med i det betänkande, som ligger till grund för reformen, att ett skäl att lägga barnbidragsverksamheten under pensionsnämnderna skulle vara, att eljest denna verksamhet skulle få fattigvårdskaraktär. Barnavårdsnämnderna skulle vara alltför fattigvårdsbetonade, och därför vore det rent av en fördel att läggga verksamheten under pensionsnämnderna.</w:t>
        <w:br/>
        <w:br/>
        <w:t>Emot hela denna tankegång måste jag för min del principiellt lägga min gensaga, och det är med en särskild tillfredsställelse som jag ser, att denna tankegång inte påträffas i departementschefens motivering för den organisationsform, som han har föreslagit och som utskottet därefter har följt. Det är visserligen sant, som jag sade 1 början av mitt anförande, att vi äro eniga om att barnavården skall tagas bort från fattigvården, men det är en princip, som gäller alla barn. Det finns ingen anledning att här undantaga vissa grupper barn. Gör man det, då — för att här använda ett uttryck, som redan herr Holmström använt — löper man den faran att man »deklasserar» inte fattigvården utan barnavården, att man trycker ned barnavården till fattigvårdsnivån. Vill man höja barnavården och närmast barnavårdsnämndernas verksamhet, är det viktigt, att man inte undanhåller barnavårdsnämnderna den ekonomiska barnavården.</w:t>
        <w:br/>
        <w:br/>
        <w:t>I Finland skiljer man ju ibland mellan uttrycken barnaskydd och barnavård; med barnaskydd menar man den mera inspekterande, uppsiktsmässiga, polismässiga sidan av verksamheten, medan man med den egentliga barnavården avser allt det andra, den upplysande, rådgivande och den ekonomiskt stöd- Jande sidan. Dess värre är det ju så, att våra barnavårdsnämnder hittills i stor utsträckning men dock med viktiga undantag ha kommit att mest syssla med barnaskydd; beträffande den egentliga barnavården, den profylaktiska barnavårdspolitiken ha de icke kommit långt. Det är ju skälet, varför inte socialministern nu vågar anförtro dem barnbidragen. Står man i det läget, är det det viktigaste att så snart som möjligt allmänt stärka och höja barnavårdsnämnderna och att göra detta i den takt, varmed man anförtror barnavårdsnämnderna nya och ökade uppgifter, som ligga i linje med den socialpolitik, som nu kraftigt föres här i landet.</w:t>
        <w:br/>
        <w:br/>
        <w:t>För min del kan jag inte neka till att jag, när jag bedömer denna fråga, tänker på vissa stora framtida reformer, som vi stå inför och för vilka man kan hysa en viss oro med hänsyn till de organisationsformer, som vi då kunna komma att vara tvungna att välja. Jag tänker t. ex. på hjälpen åt de barnrika</w:t>
        <w:br/>
        <w:br/>
        <w:t>Jag vill för min del gå ännu längre och tänka mig, att dessa nämnder skulle ha inte bara den egentliga barnavården om hand utan också en hel del andra uppgifter av allmänt familjevärnande natur. Vi ha nyss här i riksdagen beslutat om bosättningslån för unga trolovade, som ämna ingå äktenskap. Det vore ju nära nog stötande — redan med hänsyn till barnavårdsnämndernas namn — om vi skulle ha tänkt oss det kommunala organet för denna låneverksamhet vara barnavårdsnämnderna, och vi ha bland annat därför måst tillskapa särskilda kommunombud. Nog skulle det emellertid förefalla mycket rimligt, om man i framtiden hade en enhetlig nämnd för inte bara barnavård utan även hela den profylaktiskt uppbyggande familjepolitiken överhuvud taget, där då en sådan omsorg som prövningen av bosättningslåneansökningar även skulle höra naturligt hemma.</w:t>
        <w:br/>
        <w:br/>
        <w:t>Inom utskottet har det, som jag sagt, funnits en mycket stor majoritet för att principiellt även barnbidragsverksamheten bör höra under barnavårdsnämndernas domvärjo och att därigenom skulle vinnas en större enhetlighet och överensstämmelse mellan dessa båda lagar. När vi ändå till slut ha stannat för socialministerns förslag, är detta inte bara på grund av skyldig respekt för socialministerns uppfattning och med hänsyn till den sena tiden på årets riksdag, som ju gjort en så genomgripande omläggning mycket svår, utan även därför att vi, låt vara mer eller mindre starkt, dock delat den uppfattning, som låg till grund för propositionens förslag, nämligen att dess värre barnavårdsnämnderna för närvarande inte äro tillräckligt starka att övertaga både förskotteringsverksamheten och denna barnavårdsverksamhet.</w:t>
        <w:br/>
        <w:br/>
        <w:t>Jag har inte velat underlåta att giva dessa principiella synpunkter på denna fråga, när den ändå har kommit att debatteras. Herr talman, jag yrkar bifall till utskottets förslag, som ju i allt väsentligt överensstämmer med den kungl. propositionens.</w:t>
      </w:r>
    </w:p>
    <w:p>
      <w:pPr>
        <w:pStyle w:val="Heading2"/>
      </w:pPr>
      <w:r>
        <w:t>4. Johan Friggeråker (Bondeförbundet, man)</w:t>
      </w:r>
    </w:p>
    <w:p>
      <w:r>
        <w:rPr>
          <w:b w:val="0"/>
        </w:rPr>
        <w:t>Herr talman! Då min ärade vän och meningsfrände, herr Holmström, här yrkat avslag, finner Jag mig böra, eftersom jag deltagit i utskottsbehandlingen av detta ärende, framlägga min syn på detta spörsmål. Jag ber då att få tillkännagiva, vilket Ju också kan utläsas i betänkandet om mitt ställningstagande inom utskottet, att jag finner denna reform innebära ett betydande socialt framsteg och därför värd att läggas till grund för det arbete på barnavårdens område, som i och med dessa lagförslags godkännande kommer att inledas.</w:t>
        <w:br/>
        <w:br/>
        <w:t>Det är klart, att man i en del detaljer kan ha vissa erinringar att göra och sådana ha ju också framställts reservationsvis av bland andra undertecknad.</w:t>
        <w:br/>
        <w:br/>
        <w:t>Men när jag här haft att väga dessa erinringar emot denna stora och betydelsefulla reform och det syfte som man här i stort söker vinna, har jag icke ansett mig med min röst vilja bidraga till att avvisa denna lagstiftning, som jag betraktar som ett socialt framsteg på barnavårdens område.</w:t>
        <w:br/>
        <w:br/>
        <w:t>Det överraskade mig, att herr Holmströms avslagsyrkande omfattade båda förslagen. Beträffande det första lagförslaget, lagen om barnbidrag, ha ju även samtliga i utskottet deltagande högermän varit ense, så att på den punkten ett enhälligt utskottsutlåtande föreligger. Det har visserligen väckts en motion ifrån högerhåll, där det yrkas ändring, nämligen så att det hela måtte överföras till barnavårdsnämnderna. Om detta har herr Myrdal talat. Jag har inom utskottet arbetat för att en sådan överflyttning skulle ske, men då man här får betrakta detta lagkomplex såsom en försökslagstiftning och man väl får antaga, att den inte kan bli för alltid bestående, utan att sådana ändringar, som betingas av erfarenheten, kunna komma att göras, har jag inte ansett mig böra gå emot förslaget bara därför att den av oss föreslagna ändringen inte nu kunnat genomdrivas.</w:t>
        <w:br/>
        <w:br/>
        <w:t xml:space="preserve">Beträffande den första lagen, om barnbidrag, uttalas det även 1 högermotionen att högermotionärerna från sina utgångspunkter »biträda jämväl grundtanken i den lösning, som </w:t>
      </w:r>
      <w:r>
        <w:rPr>
          <w:b/>
        </w:rPr>
        <w:t>änkebarnens²</w:t>
      </w:r>
      <w:r>
        <w:rPr>
          <w:b w:val="0"/>
        </w:rPr>
        <w:t xml:space="preserve"> försörjningsfråga erhållit i Kungl. Maj:ts förslag till lag om barnbidrag. Genomförandet av denna lag kommer att beteckna ett framsteg för en sådan hemoch familjevårdande politik, som utgör en av hörnstenarna i den konservativa åskådningen.» Och jag instämmer till fullo i detta uttalande.</w:t>
        <w:br/>
        <w:br/>
        <w:t>Beträffande lagen om förskottering av underhållsbidrag ha meningarna varit något mera delade. I framförda motioner ha från några motionärers sida yrkats avslag, och två ledamöter av utskottet ha också reserverat sig för avslag på detta lagförslag. Som jag nämnde har jag även beträffande denna lag ansett mig böra biträda det föreliggande förslaget, även om, som synes av utlåtandet, vissa detaljerinringar kunna göras. Jag finner nämligen att även detta lagförslag innebär ett så pass värdefullt framsteg för den grupp av barn det här gäller, att jag inte har velat med min röst bidraga till frågans fall.</w:t>
        <w:br/>
        <w:br/>
        <w:t>Vi skola komma ihåg att det dock är de kanske sämst ställda barnen i samhället, som det här gäller, och att ett genomförande av denna reform kommer att innebära större ordning och reda inom hithörande gren av barnavården. Det kommer att ge barnavårdsnämnderna en starkare ställning, och rent organisatoriskt kommer således barnavården att få det bättre ordnat. Jag kan väl förstå, att man i de större städerna, Stockholm, Gävle och andra, där man har en god och förnämlig organisation för barnavården och där det finns ett skatteunderlag, som allt mer ökas, kanske kan se på denna fråga något annorlunda än vad vi göra, som äro från andra delar av landet, i all synnerhet vi som känna förhållandena på landsbygden. Jag har i 31 års tid på landsbygden stått i ledningen för en kommun, min hemkommun, med cirka 2,600 invånare. Jag har också under denna tid under cirka femton år handlagt ärenden rörande fattigvård och barnavård och känner sålunda väl till alla de svårigheter och besvärligheter som en barnavårdsnämnd har för att kunna klara dessa frågor. Jag hyser en stark medkänsla för dessa i socialt avseende kanske sämst ställda barn. Det är också därför som jag har ansett, att denna reform ur social synpunkt innebär en förbättring. Därtill kommer, att kostnaderna enligt lagförslaget skola fördelas med tre fjärdedelar på staten och en fjärdedel på vederbörande kommun, vilket jag betraktar såsom ett framsteg därutinnan att det blir en viss, om än enligt min mening icke tillräcklig, utjämning mellan de kostnader, som det här gäller och som hittills till betydande delar fått gäldas ensamt av vederbörande kommun.</w:t>
        <w:br/>
        <w:br/>
        <w:t>Herr Holmströms anmärkning emot lagen om förskottering av underhållsbidrag, att den skulle gynna utomäktenskapliga förbindelser, kan jag icke biträda. Jag ser i genomförandet av detta lagförslag en ökad möjlighet för barnavårdsnämnderna att hålla efter försumliga barnafäder. Det blir nämligen en mycket starkare kontroll och ett övervakande från myndigheterna, som säkerligen kommer att förhjälpa barnavårdsnämnderna till större respekt för sina åtgöranden än vad som nu är fallet.</w:t>
        <w:br/>
        <w:br/>
        <w:t>Det har också anmärkts på att dessa båda lagars barnbidrag och förskottering skola handhavas av två nämnder. Jag har förordat, att deras handläggning borde ha kunnat förläggas till barnavårdsnämnderna enbart. Man hade lyft dessa nämnders verksamhet upp på ett högre plan genom att hänskjuta även handläggningen av ärenden rörande barnbidrag till barnavårdsnämnderna. Då det icke har varit möjligt att vinna majoritet inom utskottet för denna uppfattning och det väl inte heller är möjligt för utskottet att kunna utarbeta alla de detaljerade bestämmelser, som en sådan omläggning skulle kräva, har det inte funnits någon annan utväg än att biträda lagen med tillkännagivande av att man hade önskat, att det hela hade kunnat förläggas hos en enda nämnd.</w:t>
        <w:br/>
        <w:br/>
        <w:t>Jag har till utlåtandet fogat några reservationer, men jag skall inte upptaga tiden med dem i detta sammanhang. Jag skall senare, vid behandlingen av de olika paragraferna, be att få säga några ord med anledning därav, men jag skall inte vid detaljbehandlingen framställa yrkande beträffande mer än en av reservationerna.</w:t>
        <w:br/>
        <w:br/>
        <w:t>Jag har velat tillkännagiva min uppfattning i denna principdiskussion och att jag har funnit mig böra biträda lagförslagen i princip. Jag ber därför att få yrka bifall till utskottets hemställan beträffande den nu föredragna 1 8.</w:t>
      </w:r>
    </w:p>
    <w:p>
      <w:pPr>
        <w:pStyle w:val="Heading2"/>
      </w:pPr>
      <w:r>
        <w:t>5. Gustav Möller (Socialdemokraterna, man)</w:t>
      </w:r>
    </w:p>
    <w:p>
      <w:r>
        <w:rPr>
          <w:b w:val="0"/>
        </w:rPr>
        <w:t>Herr talman! Jag skall begränsa mig till att i allmänhet uttala min tillfredsställelse — jag kan gott säga min livliga tillfredsställelse — över det resultat, till vilket det sammansatta utskott, som prövat ärendet, har kommit, och beröra en enda punkt, nämligen den del av motiveringen, mot vilken några ledamöter med herr Strindlund i spetsen ha reserverat sig.</w:t>
        <w:br/>
        <w:br/>
        <w:t>Jag har för min del inte någonting att erinra emot vad som står i utskottets utlåtande i annat avseende än att jag ju tycker, att det är en smula egendomligt, att där ges så preciserade direktiv för vad som skall ske på Just denna punkt i den allmänna översynen av socialvården. Jag är inte riktigt säker på att utskottet tänkt igenom vad en sådan översyn måhända kan komma att innebära. Det ligger i sakens natur, att när man skall göra denna översyn kommer frågan om var barnbidragen skola handläggas upp till prövning. Det är naturligtvis inte alls uteslutet, att man kommer till det resultatet, att de skola prövas av barnavårdsnämnderna, liksom förskottsbidragen. Men det kan också hända, att man vid denna översyn kommer till det resultatet, att man skapar en centraliserad socialvård — kommunalt och lokalt centraliserad — och att barnavårdsnämnderna icke komma att bibehålla ens bidragsförskotten. Det är en sak som det är alldeles för tidigt att yttra sig om.</w:t>
        <w:br/>
        <w:br/>
        <w:t>Min föreställning om hur en översyn skall ske innebär, att praktiskt taget hela vår sociallagstiftning, framför allt då det gäller handhavandet av statsbidrag i olika avseenden, måste kastas mer eller mindre i stöpsleven. Den kommer att bli föremål för prövning inte bara så till vida, att man skall pröva, huruvida man skall ha en ny organisation eller om man skall omgruppera de organisationer, som finnas, i syfte att förminska splittringen, utan också så till vida, att man skall söka ur lagstiftningen avlägsna vissa ojämnheter.</w:t>
        <w:br/>
        <w:br/>
        <w:t>Vi veta ju alla, som varit med om detta ärendes handläggning, att det nu föreslagna lagkomplexet innehåller vissa ojämnheter, som jag förmodar att man ganska allmänt skulle önska få avlägsnade. Jag kan ta den fråga, som herr Myrdal pekade på, om den okände fadern, jag tar en sådan sak som frågan, huruvida änklingar även skola kunna tänkas erhålla bidrag — så långt har man gått exempelvis i Danmark under vissa förutsättningar — jag kan ta ett sådant spörsmål som den redan på ett visst sätt avgjorda frågan om huruvida ärenden rörande invaliderna skola ligga hos pensionsstyrelsen eller hos sjukförsäkringen; skulle man komma till det resultatet, att invalidpensionerna böra överflyttas till sjukförsäkringen, bortfaller ju varje argument för att frågor om invalidernas barn skola handläggas av pensionsnämnderna 0. s. V.</w:t>
        <w:br/>
        <w:br/>
        <w:t>Jag vill bara här ha påpekat, att problemkomplexet för en utredningskommitté, som skall ha hand om den sociala översynen, när det gäller barnbidragen, icke skall begränsas till frågan, huruvida dessa ärenden skola handläggas av pensionsnämnderna eller barnavårdsnämnderna, utan en sådan översyn skall överväga vad här står, men inte vara bunden så till vida, att den nödvändigt måste komma till det resultat, som det sammansatta statsoch andra lagutskottet kommit till.</w:t>
        <w:br/>
        <w:br/>
        <w:t>Jag har endast velat göra denna lilla anmärkning. Med denna tolkning har jag inte det ringaste emot vad här står, utan anser, att utskottsutlåtandet mycket väl även på den punkten kan bifallas. Jag finner också, att det inte är någon reservant från första kammaren i utskottet, och jag förmodar, att det i detta avseende sålunda inte kan bli någon egentlig strid. Jag vill emellertid inte underlåta att säga, att om, såsom jag hört, den tanken varit på tal, att utskottet velat ge sig in på frågan om att stöpa om lagstiftningen rörande barnbidragen, så att den skulle passa för barnavårdsnämnderna, så var det nog bra, att det fick stanna vid tanken. Det hade nog inte hjälpt, om tiden för denna prövning varit ännu mycket längre än fallet är. Om det nämligen finns någonting, som är intensivt övervägt, så är det just spörsmålet om organisationen. Var och en måste väl säga sig själv, när han ser de båda lagförslag, som gälla omvårdnaden av barn, att det ligger något otillfredsställande i denna uppdelning på två organ. Men varken den kommitté, som dock behandlade detta ärende under ganska lång tid, eller regeringen, som alldeles särskilt tagit upp detta spörsmål till behandling, kunde komma till ett så positivt resultat som att för närvarande föreslå att förlägga de olika ärendena till samma nämnd. Man kan kanske gratulera utskottet till att det inte givit sig in på försöket att stöpa om lagstiftningen på denna punkt. Jag tror, att det skulle ha varit rätt svårt för utskottet att genomdriva ett sådant förslag i kamrarna. Ty så lätt går det inte att skriva lagar i detta land — det tror jag var och en, som sysslat med dessa ting, har en stark erfarenhet av.</w:t>
      </w:r>
    </w:p>
    <w:p>
      <w:pPr>
        <w:pStyle w:val="Heading2"/>
      </w:pPr>
      <w:r>
        <w:t>6. Nils Holmström (–, man)</w:t>
      </w:r>
    </w:p>
    <w:p>
      <w:r>
        <w:rPr>
          <w:b w:val="0"/>
        </w:rPr>
        <w:t>Herr talman! Herr Myrdal gjorde några uttalanden med anledning av vad jag här sagt. Jag skall be att få taga upp ett par av dem till bemötande.</w:t>
        <w:br/>
        <w:br/>
        <w:t>Jag vill emellertid först instämma med herr Myrdal i hans mening, att i valet mellan barnavårdsoch pensionsnämnderna de förra äro de lämpligaste, när det gäller handhavandet av dessa ärenden. Jag har själv en tid varit ord-</w:t>
        <w:br/>
        <w:br/>
        <w:t>förande i en pensionsnämnd och vågar betyga pensionsnämndernas — åtminstone med nuvarande organisation — inkompetens att handlägga dessa ärenden.</w:t>
        <w:br/>
        <w:br/>
        <w:t>Herr Myrdal förklarade, att det viktigaste nu är att få bort barnen från</w:t>
        <w:br/>
        <w:br/>
        <w:t>Om vi tänka på hur fattigvården för länge sedan tillbaka i tiden var ordnad, få vi naturligtvis erkänna, att det långt ifrån var bra. Men fattigvården står inte kvar på den ståndpunkten nu. Fattigvården har också följt med sin tid. Den har anpassat sig. Jag vågar försäkra, att det pågår ett mycket intresserat arbete för att åstadkomma en ytterligare anpassning och modernisering av fattigvården, en strävan som gör sig gällande såväl inom fattigvårdsstyrelseledamöternas som inom fattigvårdsfunktionärernas krets. J ag kan såsom ett belysande exempel nämna, att Svenska fattigvårdsoch barnavårdsförbundet i år hade inbjudit landsbygdens fattigvårdsordförande till en konferens under fem dagar här i Stockholm. Den konferensen blev så övertecknad, att den måste dubbleras. Det kom många gånger fler människor än man räknat med från hela landet, vilka alltså under fem dagar diskuterade fattigvårdsproblemen. Herrarna få alltså vara vänliga och komma ihåg, att det är en helt annan fattigvård i dag än för bara tjugofem år sedan och en helt annan anda också inom fattigvårdsstyrelserna än tidigare.</w:t>
        <w:br/>
        <w:br/>
        <w:t>För att belysa vad jag var inne på i mitt första anförande vill jag erinra om, att det skall finnas gemensamma ledamöter i fattigvårdsstyrelserna och barnavårdsnämnderna. Skulle en sådan gemensam ledamot, när han sitter i barnavårdsnämnden, vara en helt annan människa än när han sitter i fattigvårdsstyrelsen? Det låter faktiskt på herrarna, som om det skulle vara på så sätt, men så är det naturligtvis inte.</w:t>
        <w:br/>
        <w:br/>
        <w:t>Herr Myrdal erinrade om att mina partivänner i utskottet voro på samma sida som han. Ja, men det finns lyckligtvis här i landet ännu en del frågor, som inte äro partifrågor. Och det få vi väl vara glada över. Jag har åtminstone aldrig betraktat denna fråga som en partifråga. Och under de omkring tjugo år, jag nu varit med i fattigvårdsarbetet, är det kanske bara ett par gånger, som jag kunnat säga mig själv att »detta är nog innerst inne en partisak». Annars har hela arbetet varit fullständigt lidelsefritt i det hänseendet. Jag vill emellertid påpeka, att det inom utskottet är två partikamrater till mig, herrar Skoglund och Wistrand, som reserverat sig för avslag på det ena förslaget, så inte ens inom utskottet äro samtliga högerrepresentanter av samma mening.</w:t>
        <w:br/>
        <w:br/>
        <w:t>Vidare förklarade herr Myrdal, att om vi nu avslå det föreliggande förslaget. skulle vi därmed underkänna hela den socialvård, som riksdagen tidigare beslutat. Ja, det är det jag tycker att man skall göra. 'Allting vad riksdagen beslutat är ju inte det klokaste. Riksdagen har ju genom det nyss omnämnda beslutet anhållit om en översyn av hela sociallagstiftningen och därmed — så vitt jag förstår — erkänt, att den drivit alltför planlöst, ända därhän, att det blivit ett virrvarr på socialvårdens område. Herr statsrådet och chefen för socialdepartementet medger ju också, att här måste vidtagas åtgärder för att få till stånd en mera enhetlig organisation och ett större logiskt sammanhang 1 det hela.</w:t>
        <w:br/>
        <w:br/>
        <w:t xml:space="preserve">Herr Myrdal påstod vidare — om han avsiktligt misstolkade mitt uttalande eller inte lämnar jag därhän — att jag skulle ha sagt, att en </w:t>
      </w:r>
      <w:r>
        <w:rPr>
          <w:b/>
        </w:rPr>
        <w:t>kvinna¹</w:t>
      </w:r>
      <w:r>
        <w:rPr>
          <w:b w:val="0"/>
        </w:rPr>
        <w:t xml:space="preserve"> vill bli </w:t>
      </w:r>
      <w:r>
        <w:rPr>
          <w:b/>
        </w:rPr>
        <w:t>moder²</w:t>
      </w:r>
      <w:r>
        <w:rPr>
          <w:b w:val="0"/>
        </w:rPr>
        <w:t xml:space="preserve"> bara för att komma i åtnjutande av barnbidrag. Nej, herr Myrdal, det har jag aldrig sagt! Jag har överhuvud taget aldrig tänkt på bevekelsegrunden för en </w:t>
      </w:r>
      <w:r>
        <w:rPr>
          <w:b/>
        </w:rPr>
        <w:t>kvinnas¹</w:t>
      </w:r>
      <w:r>
        <w:rPr>
          <w:b w:val="0"/>
        </w:rPr>
        <w:t xml:space="preserve"> moderskap. Jag har endast konstaterat det faktum, att en </w:t>
      </w:r>
      <w:r>
        <w:rPr>
          <w:b/>
        </w:rPr>
        <w:t>kvinna¹</w:t>
      </w:r>
      <w:r>
        <w:rPr>
          <w:b w:val="0"/>
        </w:rPr>
        <w:t xml:space="preserve">, som genom lösa förbindelser blir </w:t>
      </w:r>
      <w:r>
        <w:rPr>
          <w:b/>
        </w:rPr>
        <w:t>moder²</w:t>
      </w:r>
      <w:r>
        <w:rPr>
          <w:b w:val="0"/>
        </w:rPr>
        <w:t>, blir hjälpt genom detta</w:t>
        <w:br/>
        <w:br/>
        <w:t>När det sålunda i flera stycken råder tvekan, har jag, herr talman, yrkat avslag på de båda lagförslagen. Det är med den motiveringen, att när vi nu ha ett löfte från socialministern om en översyn över lagstiftningen i dess helhet, måste det vara onödigt att genom att antaga dessa lagar ytterligare förvirra socialvården. Jag anser, att det i denna situation är helt naturligt, att vi skola ställa oss avvaktande.</w:t>
        <w:br/>
        <w:br/>
        <w:t>Min ärade partivän herr J. B. Johansson menade, att barnavårdsnämnderna skulle ha lättare att hålla efter de försumliga barnafäderna. Det förstår jag inte. Fattigvårdsstyrelserna ha precis samma möjligheter. Det finns bara en liten nyansskillnad mellan fattigvårdslagen och barnavårdslagen, när det gäller rätten för respektive myndigheter att ta hand om försumliga familjeförsörjare och låta internera dem på arbetshem. I det stycket ha de praktiskt taget samma makt båda två, och jag vet att båda i stor utsträckning begagna sig av den makt, som samhället lagt i deras händer.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