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817</w:t>
      </w:r>
    </w:p>
    <w:p>
      <w:r>
        <w:rPr>
          <w:b/>
        </w:rPr>
        <w:t xml:space="preserve">Datum: </w:t>
      </w:r>
      <w:r>
        <w:t>1938-03-26</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Georg Branting (Socialdemokraterna, man)</w:t>
      </w:r>
    </w:p>
    <w:p>
      <w:r>
        <w:rPr>
          <w:b w:val="0"/>
        </w:rPr>
        <w:t>Herr talman, mina herrar! Den fråga som motionärerna, herr Theodor Nilsson med flera, här tagit upp är för många medborgare i vårt land av betydelse. Motionen går, såsom synes, ut på utredning och förslag till sådana ändrade bestämmelser i giftermålsbalken att make ej utan andra makens samtycke må ingå borgenseller annan utfästelse, som medför fara för minskning av makens giftorättsgods, den andra maken till förfång, och vilken utfästelse med hänsyn till omständigheterna kan anses otillbörlig.</w:t>
        <w:br/>
        <w:br/>
        <w:t xml:space="preserve">Första lagutskottet har behandlat denna motion med stort intresse, under många timmars diskussion — detta säkerligen på den grund, som ju också anförts, att man funnit rådande ordning härutinnan icke fullt tillfredsställande. Utskottet erkänner sålunda, att åtskilliga sociala missförhållanden kunna följa med den nuvarande rätten för äkta make att fritt och lättsinnigt kunna ådraga sig ansvar för annans gäld. Vi veta nog alla, att många svenska hem alldeles meningslöst spolierats och många barn berövats sin trygga familjemiljö, därför att familjefadern i svaghet och under en falsk uppfattning av vad vänskap och heder kräver skrivit på borgen åt mer eller mindre goda vänner, utan att </w:t>
      </w:r>
      <w:r>
        <w:rPr>
          <w:b/>
        </w:rPr>
        <w:t>hustrun²</w:t>
      </w:r>
      <w:r>
        <w:rPr>
          <w:b w:val="0"/>
        </w:rPr>
        <w:t xml:space="preserve"> har kunnat hindra det eller ens vetat om vad som skett. Vi veta att det i Sverige har blivit nästan till en osed i vissa kretsar att man av vänner och bekanta kräver deras namn på borgenseller växeleller andra skuldförbindelser, under fraser om att det bara är »en formalitet» eller dylikt. TI de flesta fall går det väl lyckligt, får man antaga. Men vi veta också att dylika »formaliteter» kunna bli ganska dyrbara nöjen och att, om det vill sig olyckligt, vederbörande kan få gå ruinerad från gård och grund till följd av lättsinnigt tecknade borgensförbindelser.</w:t>
        <w:br/>
        <w:br/>
        <w:t>Det förhåller sig också så att vår lagstiftning principiellt har ställt sig på den ståndpunkten, att i varje fall fast egendom, som äkta makar gemensamt</w:t>
        <w:br/>
        <w:br/>
        <w:t>Ang. äkta makars inbördes ansvar i ekonomiskt avseende. (Forts.) besitta, skall åtnjuta ett visst skydd. Det finns vissa bestämmelser, som skola hindra ensidiga avhändelseåtgärder. Den andra makens samtycke erfordras för försäljning eller inteckning i sådan fast egendom. Men i praktiken ha dessa stadganden naturligtvis bara en mycket begränsad betydelse. Man</w:t>
        <w:br/>
        <w:br/>
        <w:t>får icke sälja eller inteckna den fasta gemensamma egendomen, och det är gott och väl men ingenting hindrar ju att en man hastigt och lustigt, utan den minsta nytta för sig och familjen, skriver på borgen, och denna förbindelse kan naturligtvis resultera i konkurs och i försäljning också av den fasta egendomen.</w:t>
        <w:br/>
        <w:br/>
        <w:t>Nu har alltså ett antal motionärer i bägge kamrarna hemställt om en riksdagsskrivelse till Kungl. Maj:t i syfte att man må eftersöka någon bot för dessa missförhållanden. Lagutskottet har under behandlingen av motionen, som det heter, icke »kunnat finna en godtagbar lösning av frågan». Man har erkänt, att här är det inte bra som det är, men hur man har vridit och vänt på dessa lagbestämmelser och förhållanden, har diskussionen i alla fall utmynnat i, att det inte varit möjligt för utskottet att framlägga något närmare preciserat förslag. Därför har alltså utskottet, under beklagande, kommit fram till avslag på motionen.</w:t>
        <w:br/>
        <w:br/>
        <w:t>Man kan fråga hur det kommer sig, att det är så svårt att finna någon väg fram mellan de komplicerade juridiska bestämmelser, som reglera äkta makars inbördes förmögenhetsförhållanden, för att gå de önskemål till mötes, som motionärerna fört fram. Utskottet har skrivit några ord om »nutidens krav på individuell frihet och självbestämningsrätt». Grundprincipen när det gäller äkta makars förmögenhetsförhållanden skall nu vara vardera makens fria förvaltningsrätt över sitt giftorättsgods. Makes ekonomiska fullmyndighet får icke göras beroende av den andra makens vilja, heter det, i varje fall icke så mycket att »nutida krav på individuell frihet och självbestämmanderätt» sättas tillbaka.</w:t>
        <w:br/>
        <w:br/>
        <w:t>Jag har i detta ärende låtit anteckna en blank reservation till utskottets utlåtande, vilket berott på två skäl. För det första menar Jag, att när, som i detta fall, ostridigt föreligger vissa missförhållanden, vissa luckor i lagen om man så vill, som vållat nöd och sorg och olycka för många, många oskyldiga. människor, då borde också riksdagen kunna göra en framställning till Kungl. Maj:t om rättelse, fastän lagutskottet icke samtidigt i en hast kan ge precisa. anvisningar om hur de ifrågavarande bestämmelserna juridiskt skola utformas.</w:t>
        <w:br/>
        <w:br/>
        <w:t xml:space="preserve">Jag är för min del övertygad om att ett initiativ från Kungl. Maj:ts sida till skydd för familjen emot otillbörliga, lättsinniga skuldförbindelser skulle hälsas med glädje och tacksamhet av tusentals </w:t>
      </w:r>
      <w:r>
        <w:rPr>
          <w:b/>
        </w:rPr>
        <w:t>hustrur²</w:t>
      </w:r>
      <w:r>
        <w:rPr>
          <w:b w:val="0"/>
        </w:rPr>
        <w:t>, och kanske också av de flesta äkta män. Jag antar också att juristerna nog skulle kunna finna sig i någon jämkning i deras konstrikt uppbyggda system beträffande reglering av äkta makars ömsesidiga ekonomiska förhållanden.</w:t>
        <w:br/>
        <w:br/>
        <w:t>Den andra anledningen till min reservation är att jag ställer mig ganska skeptisk och kättersk gentemot själva grundtanken i vår moderna äktenskapslagstiftning. Jag intar en s. k. reaktionär ståndpunkt i dessa frågor. Jag tror nämligen, att det under nuvarande förhållanden är en illusion, att äkta makar kunna stå ekonomiskt i förhållande till varandra såsom fria och självständiga individer. Det är en illusion att äktenskapet icke konstituerar en ekonomisk enhet. Man må införa och laborera med aldrig så skarpsinniga lagbestämmelser om vad som är eller icke är respektive makars giftorättsgods och enskilda egendom o. s. v., man må om dessa förhållanden skapa ett juridiskt specialgebiet som verkligen är så pass komplicerat att jag skulle tro att bara ett fåtal jurister fullt ut behärska det, och naturligtvis inte alls menige man — jag anser att man i alla fall ändock inte kommer ifrån att det är</w:t>
        <w:br/>
        <w:br/>
        <w:t>Ang. äkta makars inbördes ansvar i ekonomiskt avseende. (Forts.) och förblir så, att hela familjen är beroende av mannens ekonomiska dispositioner. Man talar om nutidens krav på ekonomisk, individuell frihet och självständighet. Men barnen finnas ju där, i de flesta fall! I de barnlösa äktenskapen går det naturligtvis för sig att betrakta vardera maken som ekonomiskt fri och självständig, men där det finns barn, vilket väl är regel, står försörjningsplikten och omsorgen om dem såsom ett orubbligt förhållande, som gestaltar en faktiskt ekonomisk samhörighet mellan makarna och som medför, eller i varje fall borde medföra, väsentliga inskränkningar i detta omtalade, nutida krav på individuell frihet och självständighet. Man kan ju tala, förkastande, om ömsesidigt »målsmanskap» makarna emellan. Men härmed kommer man i alla fall inte ifrån den i varje fall tills vidare naturliga anordning, som kallas familjen.</w:t>
        <w:br/>
        <w:br/>
        <w:t>Herr talman! Jag har endast med dessa ord velat motivera min förhoppning att när nu denna motion faller, skall den falla framåt. Jag har intet yrkande.</w:t>
      </w:r>
    </w:p>
    <w:p>
      <w:pPr>
        <w:pStyle w:val="Heading2"/>
      </w:pPr>
      <w:r>
        <w:t>2. Theodor Nilsson (Socialdemokraterna, man)</w:t>
      </w:r>
    </w:p>
    <w:p>
      <w:r>
        <w:rPr>
          <w:b w:val="0"/>
        </w:rPr>
        <w:t>Herr talman! Jag tar liksom den föregående talaren kammarens tid i anspråk med anledning av den motion, som av mig med flera väckts i denna kammare. Jag ber att från början få uttala mitt erkännande till utskottet för att det verkligen beflitat sig om att tränga in i denna fråga, och jag är mycket tacksam för att utskottet erkänt motionens berättigande.</w:t>
        <w:br/>
        <w:br/>
        <w:t>Sedan uskottet har givit detta erkännande, anför utskottet en del exempel på hur det enligt den nya giftermålsbalken förhåller sig med avseende på makars egendom och kommer fram till att giftermålsbalken säger, att varje make skall fritt bestämma över såväl vad den för med sig i boet som också vad den sedan kan förtjäna såsom sitt och för övrigt att vad en make kan förvärva på det sättet, att det kan anses vara skrivet i hans namn, det skall han få betrakta som sin egen egendom. . .</w:t>
        <w:br/>
        <w:br/>
        <w:t>Utskottet stannar sedan en stund vid den mening, som gjorde sig gällande under förarbetena till den nya giftermålsbalken beträffande makars affärstransaktioner, och utskottet kommer därvidlag fram till det som ett faktum, att man ansåg, att det skulle utgöra ett väsentligt hinder, om man på något sätt skulle söka inkräkta på varje makes frihet att efter eget gottfinnande utan den andras tillstyrkan få lov att driva de affärstransaktioner, man fann för gott. Man säger, att det skulle betraktas såsom ett målsmanskap, om på något sätt den ena maken skulle vara hänvisad till att inhämta den andres medgivande, i vilket avseende det än vara må.</w:t>
        <w:br/>
        <w:br/>
        <w:t>Ja, herr talman, de frihetsprinciper, som utskottet i detta sammanhang slår vakt om, är jag den första att vilja vara med om att understryka. Det är gott med frihet, men i ett fall som det här föreliggande kan det nog ifrågasättas, om man inte är på väg att driva dessa principer, jag skulle nästan vilja våga använda uttrycket, in absurdum. Det kan finnas risk för att man driver principen om frihet så långt, att det kanske skapas fram ren ofrihet inom äktenskapet och även för den enskilde maken. Jag är därför inte beredd att helt och obetingat förklara, att den nya giftermålsbalken i allo uppfyller de anspråk på sådan frihet, som jag anser vara eftersträvansvärd för äktenskapet. Det är inte mot giftermålsbalkens bestämmelser, som jag vänder mig, utan mer mot det sätt, varpå de i praktiken tillämpas och att de i tillämpningen mer och mer utvecklats på ett sätt, som inte giftermålsbalken kan råda bot emot. Det är alltså mot luckorna och vad som brister i giftermålsbalken, som jag huvudsakligen vänder mig.</w:t>
        <w:br/>
        <w:br/>
        <w:t>Jag kan inte se annat än att det skydd, giftermålsbalken ger make för sitt giftorättsgods och vilket skydd utskottet tycks slå särskild vakt om, i verklig-</w:t>
        <w:br/>
        <w:br/>
        <w:t>Ang. äkta makars inbördes ansvar i ekonomiskt avseende. (Forts.) heten är ett tveeggat vapen och detta först och främst därför att om makarna ta lagens möjligheter i egoistiskt syfte, kan det skyddet betyda förfång i rent av oanad grad för den andre maken, och om båda makarna äro lika måna om att tillgodogöra sig skyddet, kommer det ohjälpligt att leda till rent olidliga förhållanden inom äktenskapet och, jag tror, i många fall till dess slutliga upplösning.</w:t>
        <w:br/>
        <w:br/>
        <w:t>Man behöver säkerligen inte vara alltför stor människokännare och psykolog för att förstå, att när en gång småfolket i allmänhet, människor som intressera sig mindre för lagen och mera för tycke, när de ingå äktenskap, undan för undan få giftermålsbalkens bestämmelser inträngda i sitt medvetande, komma äktenskapen inte att bli stabila. De komma att vila på lösan grund och detta helt naturligt, därför att det i praktiken förhåller sig på det sättet, att om den ena maken har pengar på banken och den andre maken har kvitto på att han äger husgerådet eller ett piano t. ex., så är det deras respektive egendom under den tid, äktenskapet varar. Det är först, då skilsmässa uppstår genom döden eller på annat sätt, som det kan bli tal om att den andre maken skall få sitt giftorättsgods. Under tiden äktenskapet pågår, förvaltar nämligen var och en det, som han sålunda får kalla sitt enligt lagen.</w:t>
        <w:br/>
        <w:br/>
        <w:t>Nu kommer det givetvis att svaras härpå, att om den ena maken så misshushållar med sin egendom, att det kan bli till förfång för den andres giftorätt, så kan den andra maken väcka rättegång mot honom och få laga dom på att vad som fanns i boet, innan misshushållningen började, skall delas jämnt. I sammanhang därmed kan givetvis denna make förutom sitt giftorättsgods få boskillnad. På detta vill jag då svara, att om man har kommit så långt, att makarna behöva stämma varandra för att få skydd för sitt giftorättsgods, då har väl ändå äktenskapet som varande lyckligt fått ett grundskott.</w:t>
        <w:br/>
        <w:br/>
        <w:t>Jag tycker, att redan det förhållandet, att lagen ger bestämt besked om vad som skall vara mitt eller ditt, vad som skall vara var och ens egendom, har en förmåga att från början ge det intrycket, om man känner till förhållandena, att här är det bara fråga om mitt och ditt. Lagen talar ju så litet om det gemensamma 1 äktenskapet.</w:t>
        <w:br/>
        <w:br/>
        <w:t xml:space="preserve">Utskottet ifrågasätter »om icke genom den tilltänkta anordningen makes fullmyndighet skulle göras beroende av andra makens vilja». Jag kan knappast finna, att de farhågorna äro befogade. Redan nu får det väl för en normal samlevnad i ett åtminstone förhållandevis lyckligt äktenskap råda ett sådant förtroende mellan makarna. Det är väl först, när det uppstår osämja i äktenskapet eller inbördes söndring, som det eljest naturliga förtroendet börjar kännas som beroende mellan makarna, och den lagstiftning, som vi nu här föreslå, anser jag vara det enda rätta för att kunna hämma söndringar i ett äktenskap. Utskottet fortsätter, att »fara vore även att mannens borgenärer skulle förmå </w:t>
      </w:r>
      <w:r>
        <w:rPr>
          <w:b/>
        </w:rPr>
        <w:t>hustrun²</w:t>
      </w:r>
      <w:r>
        <w:rPr>
          <w:b w:val="0"/>
        </w:rPr>
        <w:t xml:space="preserve"> icke endast att samtycka till förbindelsen, utan även att ikläda sig ansvaret för densamma gemensamt med mannen». J ag tycker nog i detta fall, att utskottet ändå målar gubben på väggen för att klå honom, som man säger. Jag tror inte, att det kan vara så illa beställt därmed, och jag tror inte, att utskottet själv tror på att det är så värst många </w:t>
      </w:r>
      <w:r>
        <w:rPr>
          <w:b/>
        </w:rPr>
        <w:t>hustrur²</w:t>
      </w:r>
      <w:r>
        <w:rPr>
          <w:b w:val="0"/>
        </w:rPr>
        <w:t xml:space="preserve">, som skulle falla offer för denna påtryckning att själva skriva på. Utskottet säger, att den risken kommer att föreligga, att </w:t>
      </w:r>
      <w:r>
        <w:rPr>
          <w:b/>
        </w:rPr>
        <w:t>hustruns²</w:t>
      </w:r>
      <w:r>
        <w:rPr>
          <w:b w:val="0"/>
        </w:rPr>
        <w:t xml:space="preserve"> giftorättsgods kan stryka med på kuppen, om </w:t>
      </w:r>
      <w:r>
        <w:rPr>
          <w:b/>
        </w:rPr>
        <w:t>hon²</w:t>
      </w:r>
      <w:r>
        <w:rPr>
          <w:b w:val="0"/>
        </w:rPr>
        <w:t xml:space="preserve"> skriver på. Jag förstår förresten inte, varför man skall tala om </w:t>
      </w:r>
      <w:r>
        <w:rPr>
          <w:b/>
        </w:rPr>
        <w:t>hustrun²</w:t>
      </w:r>
      <w:r>
        <w:rPr>
          <w:b w:val="0"/>
        </w:rPr>
        <w:t xml:space="preserve"> speciellt i detta fall. Det är precis samma förhållande med mannen. Man och </w:t>
      </w:r>
      <w:r>
        <w:rPr>
          <w:b/>
        </w:rPr>
        <w:t>hustru²</w:t>
      </w:r>
      <w:r>
        <w:rPr>
          <w:b w:val="0"/>
        </w:rPr>
        <w:t xml:space="preserve"> ha lika mycket att säga till om sitt giftorättsgods, och mannen kan komma i precis samma situation som </w:t>
      </w:r>
      <w:r>
        <w:rPr>
          <w:b/>
        </w:rPr>
        <w:t>hustrun²</w:t>
      </w:r>
      <w:r>
        <w:rPr>
          <w:b w:val="0"/>
        </w:rPr>
        <w:t>. Motionen talar inte heller om underskrift utan om att det skall vara samtycke.</w:t>
        <w:br/>
        <w:br/>
        <w:t>Beträffande sedan de hinder för förvärvsverksamhet i allmänhet som ut-</w:t>
        <w:br/>
        <w:br/>
        <w:t>Ang. äkta makars inbördes ansvar i ekonomiskt avseende. (Forts.) skottet befarar skola komma inträffa, tycker jag allt, att om man kommer så långt, blir det väl ändå makarnas gemensamma angelägenhet och gemensamma intresse att kunna ordna saken på något smidigt sätt. Den ena maken lämnar t. ex. den andre maken förtroendet att sköta den affär, som man kommit överens om att driva, och jag tänker mig, att det inte är omöjligt 1 ett lyckligt äktenskap — åtminstone inte bland den kategori av människor, som jag själv tillhör eller har förmånen att umgås med. Lever man under lyckliga förhållanden i ett äktenskap, startar man inte en affär utan att båda makarna därom äro fullt ense. Genom nuvarande lagstiftning äro också makarna fullkomligt jämnspelta. Förr var det mannen, som ensam bestämde och hade målsmanskap. Den ofrihet, man befarar, finns alltså inte nu. Båda makarna få genom den tilltänkta lagstiftningen liksom de redan ha det genom den nya giftermålsbalken precis samma rättigheter, men de ha jämväl också samma skyldigheter gentemot varandra. Någon ofrihet mer eller mindre för den ena maken mot den andra skulle därigenom icke uppstå.</w:t>
        <w:br/>
        <w:br/>
        <w:t>Utskottet framhåller vidare svårigheterna för banker och långivare att avgöra, om det är fråga om en lojal affärstransaktion eller osunt vingleri. På detta kan jag meddela, att redan nu söka nog de allra flesta banker klarhet på den punkten, innan lån beviljas. Bankerna tillskriva i de allra flesta fall redan nu den andra maken, innan lån utlämnas, även om såväl låntagaren som borgesmännen äro solventa.</w:t>
        <w:br/>
        <w:br/>
        <w:t>Det förefaller mig, som om stor del av de farhågor, som utskottet här har påtalat, vore något långsökta, men då utskottets högt ärade ordförande har satt sitt namn under dem, tror han säkert på dem. Jag sätter den mannens redbara sakkunskap så högt, att jag därför har svårt att komma med ett yrkande, som strider mot hans uppfattning. Jag måste likväl den här gången göra ett sådant yrkande.</w:t>
        <w:br/>
        <w:br/>
        <w:t>Jag tror, att det är nödvändigt, herr talman, att vi nu börja inrikta oss på att försöka få fram en lagstiftning, som inte blir till förfång för friheten mellan makarna. En sådan lagstiftning vi här ifrågasatt kan endast stärka makarnas inbördes förhållanden, och jag tror, att det är på tiden, att vi försöka få fram en lagstiftning, som skapar en samhörighetskänsla i den äktenskapliga samlevnaden. Jag tror också, det är nyttigt, med den föreslagna lagstiftningen, därför att om makarna ha lagens bokstav att falla tillbaka på vid alla dessa tillfällen, då de behöva rådgöra med varandra, kommer det att betyda, att man i hemmet får ett moraliskt ansvar, som kan omfatta bägge makarna och även kan komma barnen till del, som skola uppfostras i hemmet. Detta moraliska ansvar måste man söka om möjligt uppamma icke endast mellan makarna, utan även låta barnen ta intryck av, och därmed stärka känslan till moraliskt ansvar jämväl mot tredje man.</w:t>
        <w:br/>
        <w:br/>
        <w:t>Herr talman! Jag tar mig friheten på grund av detta enkla anförande att hemställa om bifall till motionen.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817</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