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2144</w:t>
      </w:r>
    </w:p>
    <w:p>
      <w:r>
        <w:rPr>
          <w:b/>
        </w:rPr>
        <w:t xml:space="preserve">Datum: </w:t>
      </w:r>
      <w:r>
        <w:t>1938-04-23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Edvin Sköld (Socialdemokraterna, man)</w:t>
      </w:r>
    </w:p>
    <w:p>
      <w:r>
        <w:rPr>
          <w:b w:val="0"/>
        </w:rPr>
        <w:t>Herr talman! De långa debatterna i denna fråga visa, såsom här förut har anmärkts, att vi befinna oss på ett ömtåligt område. Och detta är ganska naturligt, därför att det gäller här kanske inte så mycket ekonomiska realiteter som fastmer människors känslor, tycken och smak, förströelser och sådant.</w:t>
        <w:br/>
        <w:br/>
        <w:t>Det är givet, att man kan ha många olika meningar i en fråga som denna. En sak tror jag dock, att man får försöka hålla i minnet, och det är att här äro många människor intresserade. Det är givet att förhållanden, som ha existerat under långa tider, medfört att folk vant sig vid vissa ting och betraktat dessa som självklara rättigheter. Det är mycket svårare att komma med revolutionerande nyheter på ett område som detta än på många andra. Följaktligen tror jag, att det är mycket viktigt att man här går fram med en något större försiktighet än den, som den föregående ärade talaren lade i dagen. Herr Johansson i Björnlunda kan ju ha sin mening om saker och ting, och jag kan ha min. I många avseenden delar jag hans uppfattning, men jag tror, att det skulle vara oklokt, om vi toge vår rent personliga inställning till dessa frågor och lade den till grund för en lagstiftning på detta område. Jag menar, att det är nödvändigt att vi försöka sätta oss in i vad många andra människor ha för uppfattning och önskningar i dessa ting.</w:t>
        <w:br/>
        <w:br/>
        <w:t>Nu är det dock så att det föreliggande lagförslaget i betydande avseenden innebär stora avvikelser från vad förut gällt. Det är dessa saker, vi här diskutera. Det är frågan om tvångsanslutningen till jaktvårdsområdena, och det är frågan om jaktvårdsavgifterna. Det är klart, att tvisten om tvångsanslutningen till jaktvårdsområdena inte är så förfärligt stor. Saken var ju den, att de sakkunniga föreslogo två tredjedelars majoritet. Kungl. Maj:t tyckte, att det var försiktigare att ta fyra femtedelar, och nu har utskottet föreslagit tre fjärdedelar. Utskottet har ingenting att stödja sig på, det har inte Kungl. Maj:t heller, och det kanske inte heller de sakkunniga ha. Man kan nog säga, att alla siffrorna äro lika godtyckligt valda. Men jag skulle för min del ändå vilja rekommendera, att man valde den försiktigaste linjen. Kungl. Maj:ts förslag innebär, att utav 5 skulle 4 vara ense. Jag tror inte, att det är att gå</w:t>
        <w:br/>
        <w:br/>
        <w:t xml:space="preserve">Vad Jaktvårdsavgifterna beträffar är det ju självklart, att jag inte kan ha någon annan mening än den, att om statsmakterna vilja lägga en skatt på rätten att utöva Jakt, så kunna statsmakterna göra detta. Men man får väl ändå ha några principer, när det gäller att lägga på skatter. Det har sagts här från något håll, att vi vilja ha en avgift i detta avseende, som skapar likhet inför lagen, och som gör alla likställda. Man kan ju också rent formellt säga, att om var och en som vill utöva jakt får betala 3 kronor, så äro i och med detta alla likställda. Men det är väl dock en mycket formell likställighet. Om jag jagar på 1,000 tunnland eller på 10 får jag betala 3 kronor. Om jag skjuter hundra djur eller ett får jag betala 3 kronor. En sådan likställighet bruka vi inte godkänna i skattefrågor, utan ett sådant system finna vi av erfarenhet vara orättvist. Nu kan man naturligtvis inte införa en beskattning efter stycketal, vilket ju säkert skulle medföra stora orättvisor, liksom även en beskattning efter arealen. Man får nog i stället tänka sig en lika stor avgift för var och en som vill utöva jakt. Men vad leder detta oss till? Jo, det leder till, att vi måste intaga den ståndpunkten i stället, att om vi skola ha en avgift denna dock får vara på ett sådant sätt inrättad, att den som inte vill betala avgiften kan slippa, och att den som inte vill utöva jakt kan låta bli. Jag har nämligen den uppfattningen — och däri är jag överens med herr Andersson i Löbbo — att jakten inte är något näringsfång. Det är helt säkert på det sättet, att, om man gör en rättvis och ärlig bokföring, jakten alltid kommer att visa förlust. Jakten är i stället ett nöje för den som vill utöva den. Den som inte vill jaga slipper och kan på det sättet slippa ifrån jaktvårdsavgift. Men jag frågar: kunna alla göra detta? Är det inte så att en jordbrukare ibland kommer i det tvångsläget, att han behöver gå ut och skjuta djur för att kunna klara sin gröda, för att skydda sin hönsgård eller för att överhuvud taget få kycklingar att leva på sin gård. Herr Johansson i Björnlunda har aldrig behövt göra detta, men det kanske beror på andra omständigheter. Det kanske beror på att han till exempel haft en mycket snäll </w:t>
      </w:r>
      <w:r>
        <w:rPr>
          <w:b/>
        </w:rPr>
        <w:t>hustru²</w:t>
      </w:r>
      <w:r>
        <w:rPr>
          <w:b w:val="0"/>
        </w:rPr>
        <w:t>, som låtit skator och kråkor ta kycklingarna hellre än att tvinga sin man på jaktstigen. Men det finns många bönder i detta land, som inte få någon levandes ro för sin bättre hälft förr än de lyckats ta död på skator och kråkor, som ta kycklingarna.</w:t>
        <w:br/>
        <w:br/>
        <w:t>Tro ni inte, att det skulle komma att väcka ganska stor ovilja i Sveriges land, om vi bestämde, att varje jordbrukare, som vill lossa ett skott ur sin bössa mot ett djur, det må vara ett skadedjur eller inte, skall vara skyldig betala 3 kronor. Jag tror, att detta skulle komma att väcka mycket stort missnöje, och jag tror, att det skulle bli en lagstiftning, som folk hade svårt att förstå. Jag inser å andra sidan mycket väl, att om man går den väg, som Kungl. Maj:t här vill, att jordägaren skall slippa jaktavgift därför att det finns jordägare som inte jaga men som ändå behöva skydda sina husdjur, därav följer, att man befriar många människor från att betala jaktavgift, som</w:t>
        <w:br/>
        <w:br/>
        <w:t>Nu har man sagt här, att det för kontrollens skull är nödvändigt att alla ha jaktkort. Vad menar man med detta? Vilken kontroll åsyftar man? Saken är ju den, att om en jordägare jagar på sin egen mark så är det ingen mer än han själv som har rätt att kontrollera honom. Ingen har makt att anmäla honom till åtal mer än han själv, såvida han nu inte jagar på olaga tid, men om han jagar på olaga tid, behöver han ju inte något jaktkort, för att bli fast. Jag kan därför inte se, att det finns minsta anledning att säga, att jordägaren behöver ha jaktkort för att man skall kunna kontrollera, om han har jakträtt. Det är han själv som har laglig rätt att kontrollera detta. Ingen har rätt till detta mer än han själv. Har någon annan rätt till detta, beror detta på uppdrag av jordägaren och ingen annan.</w:t>
        <w:br/>
        <w:br/>
        <w:t>Jag skulle också vilja säga på tal om dessa stockholmsgrosshandlare, som säkert existera i många upplagor, och som herr Johansson i Björnlunda talade om, att det visserligen kan låta förfärligt odemokragiskt att en söndagsjägare skulle få fara ut och jaga utan jaktkort, när allå andra måste lösa sådana. Men i praktiken tror väl ingen, att grosshandlaren nöjer sig med att jaga på det egna hemmanet. De 5—6 stycken, som han har med sig, ha väl sina hemman på andra ställen. Nästa gång de jaga, äro de väl på dessa andra ställen. På samma sätt förhåller det sig med de flesta jordägare som idka jakt. De nöja sig inte med att jaga på egna marker. Man går i lag flera stycken, och så snart man gör detta, måste man lösa jaktkort. På detta sätt blir det i grund och botten inte så många andra som slippa undan än just sådana, som inte i egentlig mening idka jakt, men som väl ha en bössa och som väl en och annan gång nödgas använda denna och, som också herr Johansson i Björnlunda sade, om de få se något matnyttigt även se till att detta kommer i grytan, men det oaktat inte äro jägare i egentlig mening.</w:t>
        <w:br/>
        <w:br/>
        <w:t>Jag skulle för min del allvarligt vilja tillråda andra kammaren att här gå fram på den lindrigare vägen och ta en lag, som är litet mindre effektiv, med utsikt att kunna få denna genomförd och med utsikt att kunna få folk att förstå densamma och därmed också med möjlighet att längre fram kunna komma fram till en mera effektiv lagstiftning, detta hellre än att nu gå fram bryskt och säga, att nu skola vi ta allt och göra allt färdigt från början. Det kan hända att vi i sistnämnda fall komma att finna, att vi i högsta grad missräknat oss.</w:t>
        <w:br/>
        <w:br/>
        <w:t>Vad sedan gäller frågan om den något besvärliga situation, som uppkommit genom första kammarens sätt att behandla jaktlagen, skulle jag vilja fråga herr Sjögren, om han tror, att det blir lättare att sammanjämka, om man ordnar det så att första kammaren skall ge upp på båda punkterna och andra kammaren, så att säga, skall få rätt över hela linjen. Han tror väl inte, att första kammaren gjorde ett misstag vid den första voteringen? Den andra blev ju aldrig av, som bekant. Nu är det ju i verkligheten så att första kammaren inte prövat 26 $. Genom ett förbiseende har den inte blivit prövad. Detta tillfälle bör första kammaren få i form av ett sammanjämkningsförslag. Sedan får det ju bero på denna prövning, vilken ståndpunkt i verkligheten första kammaren har. Följaktligen bör man ta den linjen här, att andra kammaren naturligtvis fattar sitt beslut efter sin egen övertygelse i båda de punkter, som nu föreligga. Om det då vid denna prövning uppstår skiljaktighet i</w:t>
      </w:r>
    </w:p>
    <w:p>
      <w:pPr>
        <w:pStyle w:val="Heading2"/>
      </w:pPr>
      <w:r>
        <w:t>2. Carl Johan Johansson (Socialdemokraterna, man)</w:t>
      </w:r>
    </w:p>
    <w:p>
      <w:r>
        <w:rPr>
          <w:b w:val="0"/>
        </w:rPr>
        <w:t>Herr talman! Jag skall bara ge en replik till herr statsrådet Sköld.</w:t>
        <w:br/>
        <w:br/>
        <w:t xml:space="preserve">Herr statsrådet trodde, att min </w:t>
      </w:r>
      <w:r>
        <w:rPr>
          <w:b/>
        </w:rPr>
        <w:t>hustru²</w:t>
      </w:r>
      <w:r>
        <w:rPr>
          <w:b w:val="0"/>
        </w:rPr>
        <w:t xml:space="preserve"> lät kråkorna ta kycklingarna. Jag skall säga herr statsrådet, att inom min familj och i mitt jordbruk ha vi alltid hållit reda på våra hemdjur så att de inte blivit tagna av vare sig kråkor eller hökar.</w:t>
        <w:br/>
        <w:br/>
        <w:t>Det förvånar mig verkligen, att herr statsrådet också lägger sig i selen för den sammanjämkning, som här kan komma att ske. Jag anser, att det är jordbruksutskottet förbehållet att avgöra, hur denna sammanjämkning skall ske, och detta utan något råd från statsrådsbänken.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