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872</w:t>
      </w:r>
    </w:p>
    <w:p>
      <w:r>
        <w:rPr>
          <w:b/>
        </w:rPr>
        <w:t xml:space="preserve">Datum: </w:t>
      </w:r>
      <w:r>
        <w:t>1940-06-13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 man)</w:t>
      </w:r>
    </w:p>
    <w:p>
      <w:r>
        <w:rPr>
          <w:b w:val="0"/>
        </w:rPr>
        <w:t>Herr talman! Jag tror, att jag kan tillåta mig att å den svenska Rågöbefolkningens vägnar tacka för den nu betygade redobogenheten från svenska regeringen att stå den bi, i den mån regeringen kan och när det gäller.</w:t>
        <w:br/>
        <w:br/>
        <w:t>Vi ha här i svaret från utrikesministern omsider fått en framställning om de geografiska och övriga förhållanden, om hur många Rågöborna äro, var de bo och vilka utsikter de för närvarande ha. Det är för oss svenskar värdefullt att ha fått denna sammanfattande redogörelse, om vilken man hört så många frågor framställas till oss från olika håll.</w:t>
        <w:br/>
        <w:br/>
        <w:t>Svaret på frågorna är också fullständigt, utom så till vida att min andra fråga lydde: »Kan det förväntas, att svenska regeringen ville genom förhandlingar med Estlands och Sovjets regeringar mana gott för Rågöborna och även annorledes stå dem bi?» Detta är naturligtvis en inbördes angelägenhet mellan Estlands och Sovjets regeringar. Men jag menar, att sådana krav, som Sovjet här framställt, ofta kunna vara överdrivna och att de bruka kunna reduceras, om man vänder sig till vederbörande i saken. Jag trodde alltså, att ifall en sådan hänvändelse kunde göras direkt eller genom svenska beskickningen från svenska regeringen, så skulle det mera imponera på Sovjet än de föreställ-. ningar, som kunde komma från Estlands regering.</w:t>
        <w:br/>
        <w:br/>
        <w:t xml:space="preserve">Jag har tillåtit mig att till Sovjets minister i Stockholm, liksom jag har gjort ett par gånger förut i utrikespolitiska ärenden, överlämna en skrivelse för vidare befordran till Sovjet, däri vederbörande få veta, att denna interpellation har väckts. </w:t>
      </w:r>
      <w:r>
        <w:rPr>
          <w:b/>
        </w:rPr>
        <w:t>Madame³</w:t>
      </w:r>
      <w:r>
        <w:rPr>
          <w:b w:val="0"/>
        </w:rPr>
        <w:t xml:space="preserve"> Kollontay brukar översätta mina inlagor till ryska och så skicka dem till sin regering. Om nu svenska regeringen kan finna lämpligt, att svenska beskickningen i Estland får uppdrag att förhandla med Sovjet eller också att svenska utrikesledningen förhandlar med Sovjets beskickning i Sverige, så är det ju inte uteslutet, att en förbättring möjligtvis kan uppnås.</w:t>
        <w:br/>
        <w:br/>
        <w:t>Emellertid ha Rågöborna nu fått det svar, som de kunnat få. En ytterligare ofullständighet i svaret kan ju vara att något ej sagts, huruvida åtgärder planerats för att överföra Rågöborna, om de så önska, till Sverige, om det blir nödvändigt.</w:t>
      </w:r>
    </w:p>
    <w:p>
      <w:pPr>
        <w:pStyle w:val="Heading2"/>
      </w:pPr>
      <w:r>
        <w:t>2. Petrus Gränebo (Bondeförbundet, man)</w:t>
      </w:r>
    </w:p>
    <w:p>
      <w:r>
        <w:rPr>
          <w:b w:val="0"/>
        </w:rPr>
        <w:t xml:space="preserve">Herr talman! Jag får hemställa, att kammaren måtte beträffande ordningen på </w:t>
      </w:r>
      <w:r>
        <w:rPr>
          <w:b/>
        </w:rPr>
        <w:t>mor²</w:t>
      </w:r>
      <w:r>
        <w:rPr>
          <w:b w:val="0"/>
        </w:rPr>
        <w:t>-</w:t>
        <w:br/>
        <w:br/>
        <w:t>gondagens föredragningslista besluta, att samtliga i dag för första gången bordlagda ärenden skola uppföras efter de två gånger bordlagda ärendena ävensom att statsutskottets utlåtanden nr 231 och 232 skola uppföras näst efter andra lagutskottets utlåtande nr 45 samt att jordbruksutskottets utlåtande nr 60 och bevillningsutskottets betänkande nr 46 skola i angiven ordning uppföras främst på fördragningslistan.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872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