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878</w:t>
      </w:r>
    </w:p>
    <w:p>
      <w:r>
        <w:rPr>
          <w:b/>
        </w:rPr>
        <w:t xml:space="preserve">Datum: </w:t>
      </w:r>
      <w:r>
        <w:t>1900-02-10</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Adolf Hedin (Liberala samlingspartiet, man)</w:t>
      </w:r>
    </w:p>
    <w:p>
      <w:r>
        <w:rPr>
          <w:b w:val="0"/>
        </w:rPr>
        <w:t>Herr talman! När Andra Kammaren den 15 april 1893 första gången godkände det förslag till ändring utaf 74 $ regeringsformen, hvilket året derefter blef definitivt antaget och af Kongl. Maj:t sanktioneradt, så föranledde</w:t>
        <w:br/>
        <w:br/>
        <w:t>Andra Kammaren — Andra Kammaren, ty den gången var dess ord afgörande — att regeringsformen numera innehåller en be-</w:t>
        <w:br/>
        <w:br/>
        <w:t>stämmelse, som med grundlagens helgd och auktoritet hägnar vår politiks neutralitetsprincip, detta icke mindre tydligt än en motsvarande bestämmelse, som tvenne år förut införts i en annan statsgrundlag, gällande för ett rike med 14—15 millioner invånare på andra sidan om atlantiska hafvet. Denna neutralitetsförklaring i vår främsta grundlag är emellertid icke känd i främmande land; jag förmodar, att Kongl. Maj:t icke har vidtagit några särskilda åtgärder för att genom vår diplomati bekantgöra den. Och den neutralitetsresolution, som förlidet år af Riksdagen voterades i enlighet med statsutskottets hemställan i dess utlåtande n:o 73, den återfinnes i vårt riksdagstryck allena, hvilket i främmande land studeras ännu mindre än våra grundlagar.</w:t>
        <w:br/>
        <w:br/>
        <w:t>Uti den motion, som föranledde nyssnämnda utaf statsutskottet föreslagna resolution, anmärkte motionärerna, att inom de tvenne stora stater, som äro våra grannar, den allmänna opinionen i den ena betraktar Sverige med misstro, såsom en sannolik fiende, i den andra åter anser sig hafva rätt att påräkna Sverige såsom bundsförvandt i ett blifvande krig mellan båda, och att denna opinion innebär den största fara för vårt land. Det är tydligt,</w:t>
        <w:br/>
        <w:br/>
        <w:t>att den opinion, som råder inom det ena kejsardömet, och den opinion, som råder inom det andra, utgöra de två sidorna af en och samma sak. Det är tydligt, att allt det, som stärker eller synes vara egnadt att stärka den ena opinionen, i lika mått stärker den andra. Vår fredsoch neutralitetspolitiks intresse fordrar, att vi bemöta, att vi vederlägga dessa båda opinioner såsom båda lika grundlösa. Jag tror, att man en gång, för ett antal år sedan, vär i Riksdagen rigtigt uttryckt det svenska folkets mening i detta afseende genom följande ord: »Vi vilja icke bli Tysklands fiender, men vi böra låta detta mägtiga grannlands styresmän och öfriga främmande magter veta, att de låta sig missledas, om de sätta tro till framställningar, som tyckas utvisa, att svenska folket önskar en allians med Tyskland och är färdigt att offra sina söners blod i vapenbrödraskap med dess härar.» Jag håller också före, att konstitutionsutskottet vid 1856—1858 årens riksdag har fått, om möjligt, ännu mera rätt i våra dagar, än då, för sitt yttrande, att »nyare tiders lättare och lifligare förbindelser folken emellan gjort deras känsla af sin inbördes ställning till hvarandra klarare», och att derför »ett förbund, uppgjordt i strid med denna känsla, skulle kunna medföra oberäkneliga vådor och förvecklingar.» Enligt min tanke kan numera i samklang med nationens känslor icke slutas någon annan allians än en nordisk neutralitetsförklaring.</w:t>
        <w:br/>
        <w:br/>
        <w:t>Att uttala detta och gifva anledning, om möjligt, till ett uttalande af större vigt än min personliga opinion, detta har varit ett af syftena med denna motion.</w:t>
        <w:br/>
        <w:br/>
        <w:t>Jag har också, herr talman, velat påminna om förpligtelser, som det synes mig att viicke alldeles sakna utvägar att åtminstone försöka fullgöra, ett försök, som — det har jag ju förutsatt — kan blifva utan omedelbar frukt, men derför icke behöfver förblifva alldeles gagnlöst. Om dessa förpligtelser mot hela den skandinaviska nationaliteten och mot de små staternas rätt att få lefva sitt sjelfständiga lif i den allmänna kulturutvecklingens tjenst torde jag här få vidhålla den mening, som hos mig förblifvit orubbad under alla lifvets skiften, och jag torde få korteligen gifva skäl derför. Jag nödgas då gå något tillbaka i tiden, men jag skall icke lägga beslag på så synnerligen många minuter af kammarens tid.</w:t>
        <w:br/>
        <w:br/>
        <w:t>Den 2 oktober 1858 skref dåvarande utrikesministern grefve Manderström till de svenska sändebuden i London och Paris: »Vi bestrida ingalunda Tysklands rätt att genom de medel, det har till sitt förfogande, reglera hertigdömena Holsteins och Lauenburgs ställning; men vi kunna ej medgifva dess rätt att göra ett eröfringskrig. Från det ögonblick, då en enda soldat öfverskridit Ejderlinien, förvandlas frågan från tysk, som den var, nödvändigtvis till europeisk. Då äro ej längre Tysklands rättigheter i fråga, men en monarkis existens, som utgör en del af det europeiska</w:t>
        <w:br/>
        <w:br/>
        <w:t>statssystemet och hvars integritet garanterats af oss såsom af de europeiska stormagterna. Om Tyskland kommer som fiende till ett grannland och hotar dess tillvaro, så befinna vi oss alltför nära och åro våra intressen alltför mycket hotade, för att ej ett sådant sakernas skick skulle för oss vara af den högsta vigt och af beskaffenhet att ingifva oss de allvarsammaste beslut».</w:t>
        <w:br/>
        <w:br/>
        <w:t>Och efter en erinran, att våra önskningar och intressen ålägga oss att bevara det bestående goda förhållandet till Tyskland. slutar depeschen med dessa ord: »Emellertid får man ej tro. att vi äro böjda att låta ett för oss af faror uppfyldt sakernas läge uppkomma, utan att gifva till känna att vi, mycket mot vår vilja, skulle kunna blifva nödgade att vidtaga åtgärder 1 vårt eget lugns intresse».</w:t>
        <w:br/>
        <w:br/>
        <w:t xml:space="preserve">Härmed äro det syfte och den anda tydligt angifna, som sedermera i fullt fem års tid voro bestämmande för den svenska regeringens ifriga och verksamma deltagande i förhandlingarna rörande den dansk-tyska konflikten. Det var i Sveriges intresse, vår regering tog en så verksam del i dessa förhandlingar; </w:t>
      </w:r>
      <w:r>
        <w:rPr>
          <w:b/>
        </w:rPr>
        <w:t>hon²</w:t>
      </w:r>
      <w:r>
        <w:rPr>
          <w:b w:val="0"/>
        </w:rPr>
        <w:t xml:space="preserve"> erkände de nordiska folkens solidaritet, icke blott för den omedelbart hotade statens skull, utan också för de båda andras; </w:t>
      </w:r>
      <w:r>
        <w:rPr>
          <w:b/>
        </w:rPr>
        <w:t>hon²</w:t>
      </w:r>
      <w:r>
        <w:rPr>
          <w:b w:val="0"/>
        </w:rPr>
        <w:t xml:space="preserve"> försvarade traktaters helgd samt internationel tro och lofven, och enligt min mening är det endast en enkel rättvisa att erkänna. att detta diplomatiska fälttåg leddes med lika mycken insigt. loyauté och skicklighet. Derom kan jag för öfrigt åberopa ett omdöme, som betyder mera än mitt, nemligen konstitutionskomiténs vid norska stortinget år 1863 uttalande, att de förenade rikenas politik i den danska frågan »under växande svårigheter i de sista åren fullföljts med omsorg och klokhet och i samma anda som under de föregående, samt handhafts med fasthet och värdighet».</w:t>
        <w:br/>
        <w:br/>
        <w:t>Jag sade, att den nyss upplästa depeschen af den 2 oktober 1858 betecknar den anda och det syfte, hvaruti förhandlingarne fördes under fulla fem år. Om sommaren 1863 mognade planen till en allians. Den 19 juli 1863 skref grefve Manderström till</w:t>
        <w:br/>
        <w:br/>
        <w:t>svensk-norska sändebudet i London — jag skulle tro äfven till sändebudet i Paris — att »våra dyrbaraste intressen icke kunde</w:t>
        <w:br/>
        <w:br/>
        <w:t>tillåta oss att lugnt se våra grannar krossas under förevändningar. som sedermera skulle kunna bringa vårt eget oberoende i fara». Det var den 27 oktober samma år, som grefve Manderström i svensk-norskt statsråd framlade utkast till den allians, hvarom förhandlingar en längre tid egt rum mellan danska utrikesministern och svensk-norska sändebudet i Köpenhamn. En vecka derförut hade den senare fått meddelande från grefve Manderström att. »så snart våra former det tillåta, skola fullmagt och instruktioner tillsändas Eder». Och redan den 5 oktober hade grefve Manderström skrifvit till honom som följer: &gt;»Om mot all förväntan och i trots af gjorda föreställningar Tyskland skulle försöka en invasion</w:t>
        <w:br/>
        <w:br/>
        <w:t>i Slesvig, så tro vi oss kunna tillitsfullt försäkra, att Danmark skulle kunna med full trygghet påräkna aktivt stöd af mera än en magt, och för vår del, vare sig att en traktat blifvit ingången eller ej, tveka vi ej att på det uttryckligaste sätt försäkra, att, i händelse af ett Tysklands angrepp mot Slesvig, vi fortfarande hysa samma afsigter som hittills, och efter måttet af våra krafter och de medel, öfver hvilka vi kunna förfoga, vilja erbjuda Danmark det bistånd, som det kunde göra anspråk på från vår sida. Denna försäkran är Ni, herr grefve, bemyndigad att meddela den danska regeringen i samma ordalag, som jag begagnat i denna depéche». Den 16 november skref grefve Manderström till densamme: »Jag har i går mottagit norska regeringens betänkande om allianstraktaten. Underhandlingarna om denna sak skola gå sin naturliga gång, och å vår sida åtminstone skall ingenting förändras 1 våra afsigter».</w:t>
        <w:br/>
        <w:br/>
        <w:t>Jag behöfver ej erinra om hvad sedan följde. Endast det må dock framhållas, att i depeschen den 2 december 1863 börjar återtåget och att då ännu ej de två tyska stormagterna hade undanskjutit det tyska förbundet för att taga saken i sina starkare händer, äfvensom derom att ännu på våren 1864, under det att Londonkonferensen var samlad, en militärisk demonstration egde rum från vår sida — jag menar den å Hakefjord samlade eskadern, hvilkens befälhafvare 1 sin till befäl, underbefäl och manskap utfärdade helsning uttalade sin vissa förhoppning derom, att de »såsom värdiga söner af nordens fräjdade vikmgastam skulle häfda våra flaggors ära».</w:t>
        <w:br/>
        <w:br/>
        <w:t>Lord John Russel yttrade i engelska öfverhuset den 4 februari 1864: »Efter min mening är det en af de grymmaste handlingar i verlden att uppmuntra ett folk till att gripa till vapen i hopp om att man skall komma det till hjelp, då man likväl ej har i sinne att göra det». Hugget i dessa ord syftade icke på Sverige — utan åt ett annat håll — och lyckligtvis skulle det icke heller med rättvisa kunna bokstafligen på den svenska politiken tillämpas. ty derom har icke något tvifvel yttrats, om icke bland Danmarks fiender, — jag erinrar mig ett vittnesbörd derom — att den goda afsigten och välmeningen förefunnos, ehuru något annat brast. Och tillåten mig att här inflicka den erinran, att det aldrig bör glömmas inom Sveriges landamären, att det danska folkets brodersinne, trots den förfärligaste bland missräkningar, alltid varit benäget att erkänna, att ej underskatta de vanskligheter, som stälde sig 1 vägen för allianspolitikens fullföljande.</w:t>
        <w:br/>
        <w:br/>
        <w:t>Jag tror icke, herr talman, att man i den mellanfolkliga</w:t>
        <w:br/>
        <w:br/>
        <w:t>historien — som ju mest berättar om missförstånd, nationalhat, onda böjelser och önskningar — skall lätteligen finna ett mot-</w:t>
        <w:br/>
        <w:br/>
        <w:t>svarande drag af billighet och högsinthet. Jag har, såsom sagdt, härmed velat påminna om en förpligtelse, en förbindelse, som icke är af det slaget, att den efter ett visst</w:t>
        <w:br/>
        <w:br/>
        <w:t>antal år preskriberas, den förbindelsen nemligen, att, om det dng. aftränågonsin för oss skulle yppa sig någon möjlighet att försöka SS bidraga till godtgörande af en stor oförrätt, då icke undandraga Schwerin cf oss detta, äfven om det är tänkbart, att en lojal åtgärd, en Sveriges ar vänskapsfull meningsyttring skulle kunna komma att på något 4805 pant håll mötas af oförtjent misshag. ; om Låtom oss, herr talman, göra en jemförelse mellan den ställ- Tyskland. ning, i hvilken Sverige befinner sig, om det uttalar ett vänskapens = Forts. ord till förmån för uppfyllandet af det löfte, som dock en gång gifvits inför Gud och menniskor, en jemförelse mellan vår ställning och den magts ställning, som föranledde, att en gång den femte artikeln skrefs i freden i Prag 1866. Hur fick denna bestämmelse, detta löfte om återlemnande af Nord-Sleswig till Danmark plats i denna namnkunniga traktat? Det är ju tillförlitligt kändt, att detta skedde i följd af kejsar Napoleon III:s pression. Bakom denna pression kunde, derest den afvisades, stå 100,000 man vid Rhen, och denna utsigt kunde betyda förlust af allt som hade vunnits vid Sadova. Att utplåna ur Pragfreden ett vittnesbörd om att den eljest ständigt och jemt gäckade och missledda statschefen i grannlandet i vester en gång dock hade kunnat framtvinga en sådan bestämmelse 1i en traktat emellan Preussen och Österrike, det var väl måhända ett motiv lika mägtigt som något annat för Preussens önskan att få denna bestämmelse utplånad, såsom skedde genom aftalet med Österrike år 1878. Nu åter har jag ifrågasatt, att vi, en af Europas små stater. skulle i namn af den mellan oss och Tyskland bestående vänskapen och mot ett anbud, som enligt icke så få tyske mäns åsigt ingalunda vore värdelöst, vädja blott till den mägtiges egen rättrådighet. Våga vi icke att vidkännas och att åberopa rättens stora grundsatser, -hvad är det då värdt, att vi tala om en sjeltständighet, som i så fall tyckes redan vara mer än undergräfd? Och är anden, jag säger icke hos nationen, men hos de styrande sådan, så låtom oss icke inbilla oss, att vi försvara denna sjelfständighet med fjerde och femte hufvudtitlarna, äfven om vi drifva dessa i höjden långt öfver vår ekonomiska kraft. Äfven i denna jernålder vågar jag för min del uttala den tanken, att det icke är förmätet att tro, att ännu i någon mån rätt är magt för den, som icke öfvergifver sig sjelf. Det är finnarnes tro, och efter denna tro handla de. Vid hvarje nyhet. som tidningarna bringa mig från vårt gamla broderland, från ättlingarna af våra stridskamrater i hundra strider -— vid hvarje sådan nyhet erinrar jag mig landshöfdingen i Fänrik Ståls sägner. honom, som mot hot och våld vädjade till den magt, som talar rättens språk, när han pekade på lagen, Sveriges lagbok:</w:t>
        <w:br/>
        <w:br/>
        <w:t>Här är vår vapenlösa trygghet än.</w:t>
      </w:r>
    </w:p>
    <w:p>
      <w:pPr>
        <w:pStyle w:val="Heading2"/>
      </w:pPr>
      <w:r>
        <w:t>2. Alfred Lagerheim (–, man)</w:t>
      </w:r>
    </w:p>
    <w:p>
      <w:r>
        <w:rPr>
          <w:b w:val="0"/>
        </w:rPr>
        <w:t>Herr talman, mina herrar! Jag är öfvertygad om, att det icke kan vara kammarens önskan, att motionärens nu hållna föredrag, eller jag kunde nästan säga föreläsning, i vissa af den moderna politiska historiens kapitel skall af mig fullföljas. Jag tror icke, att kammaren har det slags intresse för föreliggande fråga, att sådant vore berättigadt.</w:t>
        <w:br/>
        <w:br/>
        <w:t>I hans yttrande förekommo emellertid några moment, hvilka</w:t>
        <w:br/>
        <w:br/>
        <w:t>jag anser mig icke böra med tystnad förbigå.</w:t>
        <w:br/>
        <w:br/>
        <w:t>Det må då först och främst tillåtas mig att till fullo instämma 1 den hyllning, han gaf vårt närmaste grannland, Danmark, och det danska folkets lojala känslor mot oss. Efter de förhandlingar, som han något i detalj, men långt ifrån fullständigt, framlade för kammaren, vill jag icke förneka, att en viss rätt till sviken förväntan hos det danska folket kunde hafva förelegat. Jag vill derför gerna instämma i denna hyllning, och jag vet, att alla här närvarande göra det med mig.</w:t>
        <w:br/>
        <w:br/>
        <w:t>En annan punkt, som han berörde, föranleder deremot icke till ett instämmande, utan till ett bestämdt afvisande från min sida. Det är icke första gången, som här från hans mun hafva fälts yttranden, hvilka antyda — om icke afslutandet af en direkt förbundstraktat — dock en benägenhet, som skulle hafva förefunnits hos Kongl. Maj:ts regering att knyta en närmare allians med en af våra tre grannmagter. Denna antydan, detta påstående, detta rykte, denna förmodan — hvad man vill kalla det — har så många gånger i så klara, skarpa, bestämda och otvetydiga ordalag blifvit vederlagd från tronen och från andra håll, att det icke kan finnas något berättigadt tvifvel om, att underhandlingar derom aldrig hafva varit inledda, att någon sådan benägenhet hos Kongl. Maj:t aldrig förefunnits. Men för hvarje gång en antydan i sådan rigtning icke dess mindre framkommer, måste man återigen slå i hjel den, och om, sedan man gjort det, den kommer upp igen med sju hufvuden, då skola de sju hufvudena åter huggas af.</w:t>
        <w:br/>
        <w:br/>
        <w:t>Afven i år har från tronen lemnats svenska folket den försäkran, att våra förhållanden till alla främmande magter fortfarande äro vänskapliga. Med detta faktum är det icke förenligt, att någon ledamot af Riksdagen tillåter sig föreslå sådant, som direkt pekar på en inblandning i tvister mellan främmande folk, låt vara våra grannfolk.</w:t>
        <w:br/>
        <w:br/>
        <w:t>Det må vara motionären sjelf förbehållet att förklara, huru han vill bringa i samklang sitt förslag från förra året om proklamerandet af en ständig neutralitet med det förslag, som han i år framlagt, att vi skulle inblanda oss i en tvist mellan främmande magter.</w:t>
        <w:br/>
        <w:br/>
        <w:t>Hans anförande var en lång labyrint af citat, af jemförelser, af erinringar, en labyrint, till hvilken jag icke har tråden för att</w:t>
        <w:br/>
        <w:br/>
        <w:t>kunna följa honom, och i hvilken jag icke förväntar, att kammaren önskar, att jag skall inträda. Det har icke lyckats honom att dermed öfvertyga mig, att det finnes eller bör finnas något samband mellan den rätt enkla frågan om Wismars förhållande till svenska kronan och hvad mellan Tyskland och Danmark ännu kan finnas ouppgjordt. Hela hans anförande gick för öfrigt ut på allt annat, än hvad som egentligen bort vara föremål för hans motivering. Jag skall deremot be att nu i största korthet få återkomma till hufvudpunkten.</w:t>
        <w:br/>
        <w:br/>
        <w:t>Han har i motionen citerat en tysk brochyr och en svensk afhandling. Den förra var mig sedan länge bekant, och min pligt likmätigt hade jag fästat regeringens uppmärksamhet på den, utan att jag fann anledning att tillråda, att till följd deraf skulle företagas någon åtgärd. Men brochyren innehåller i alla fall ett par beaktansvärda punkter. Det synes mig, som om</w:t>
        <w:br/>
        <w:br/>
        <w:t>motionären — jag vill visst icke säga med flit, utan antagligen af förbiseende — underlåtit att läsa den. Brochyrens författare framhåller ett par gånger med skärpa och eftertryck den oför-</w:t>
        <w:br/>
        <w:br/>
        <w:t>månliga ställning, Wismar med område intager inom staten Mecklenburg till följd af sin ställning såsom ett från svenska kronan till Mecklenburg åtminstone i formelt hänseende förpantadt gammalt tyskt rikslän. Han säger, att, om det i någon mån lyckats staden att arbeta sig upp ur den lägervall, i hvilken den befann sig i slutet af förra århundradet, det härför har att tacka sina egna ansträngningar, men att sådant varit förenadt med stora svårigheter, då dess önskningar och behof hämmats genom dess oklara statsrättsliga ställning. Jag har hört åtskilligt derom och kunde citera flere detaljer, än brochyrförfattaren gör. Detta synes mig dock obehöfligt.</w:t>
        <w:br/>
        <w:br/>
        <w:t>Faktum finnes och är oförnekligt, att Wismar än i dag icke i formelt afseende betraktas såsom fullt tillhörande Mecklenburg.</w:t>
        <w:br/>
        <w:br/>
        <w:t>Nu förhåller det sig emellertid så, att i den svenska afhandling. som motionären också citerar, och som han utan tvifvel läst med uppmärksamhet, förekommer ett uttalande, som har icke ringa betydelse för frågans innebörd. Afhandlingens författare, som efter allt att döma egnat frågan en mycket allvarlig, omsorgsfull och uttömmande forskning, säger nemligen, då han börjar redogörelsen för de formliga underhandlingar, som omedelbart föregingo traktatens af 1803 afslutande, följande:</w:t>
        <w:br/>
        <w:br/>
        <w:t>»Att någon inlösning af panten aldrig skulle komma 1 fråga. utan öfverlåtelsen vara gjord för evärdeliga tider, derom var man fullkomligt ense och derom hade icke heller under de preliminära förhandlingarne rådt någon meningsskiljaktighet».</w:t>
        <w:br/>
        <w:br/>
        <w:t>Man må anse hvad man vill om konung Gustaf Adolfs rätt att pantsätta VYWismar såsom då skedde, men det är ett historiskt faktum, hvilket man icke kan komma ifrån, att förhandlingarna börjades, fullföljdes och afslutades på den basis, att denna</w:t>
        <w:br/>
        <w:br/>
        <w:t>pantsättning skulle vara en verklig cession af Sveriges egunderätt. Om jag sammanställer detta förhållande med den oförmånliga ställning, hvari, trots afsigten med pantsättningen, Wismar under långa tider befunnit sig, synes det mig, att man icke kan komma till någon annan slutledning än den, att det ännu finnes för svenska folket en förpligtelse att fullgöra det sista för att befria sin gamla tyska besittning från de olägenheter och från den minskning i rättigheter och förmåner, som drabbat den på grund af dess forna tillhörighet till Sverige. Deri ser jag en del svenska folkets moraliska förpligtelse. Och detta må ock vara ett svar på hvad motionären yttrat i fråga om den förhandling, hvartill han vill att den svenska regeringen skulle inbjuda den mecklenburgska, i kombination med åtskilligt annat — det svaret nemligen, att denna förhandling icke kan, icke bör, icke får, om den någonsin eger rum, mynna ut deruti, att man låter saken falla, att man låter, som motionären uttrycker sig, »Sverige vänta». Ja, för Sverige kunde det göra litet, om man dömer det hela ur Sveriges fördels synpunkt; men den andra parten, om hvilken det är fråga, den gamla svenska besittningen, den kan icke vänta, den bör icke vänta, den får icke vänta på, att Sverige gör rent hus. |</w:t>
        <w:br/>
        <w:br/>
        <w:t>I länder på andra sidan Östersjön, hvilka varit svenska besittningar — jag undantager ingen af dem -— lefver ännu qvar en varm, djup känsla, ett rikt minne, en stor, upprigtig aktning för det svenska väldet och för det svenska folket. Det är min tro och mitt hopp, att icke någon handling från svensk sida har varit företagen och än mindre att en sådan skulle kunna företagas, som vore af natur att minska denna för oss hedrande uppfattning.</w:t>
        <w:br/>
        <w:br/>
        <w:t>Här står Sverige inför ännu en akt af rättvisa mot en sådan gammal besittning. Det synes mig icke kunna vara ett ögonblicks tvekan, huru den akten skall fullgöras.</w:t>
        <w:br/>
        <w:br/>
        <w:t>Mera behöfver jag icke tillägga för att för min personliga del motivera min tacksamhet till statsutskottet för att det behandlat motionen på sätt, som skett, och jag vågar tro, att hos kammaren icke skall förefinnas någon tvekan att kraftigt instämma i det slut, hvartill statsutskottet har kommit.</w:t>
      </w:r>
    </w:p>
    <w:p>
      <w:pPr>
        <w:pStyle w:val="Heading2"/>
      </w:pPr>
      <w:r>
        <w:t>3. Adolf Hedin (Liberala samlingspartiet, man)</w:t>
      </w:r>
    </w:p>
    <w:p>
      <w:r>
        <w:rPr>
          <w:b w:val="0"/>
        </w:rPr>
        <w:t>Herr talman! Om herr ministern för utrikes ärendena afsett att döda ett rykte, ett påstående, en antydan -— jag mins icke hvilka flere ord han använde — om en befintlig eller eftersträfvad svensk-tysk allians, så skall ja be honom vara god att åtminstone nu efteråt lägga märke till, att jag icke har uttalat något sådant påstående, och att detta rykte, detta påstående, denna antydan bör vederläggas inför den tyska publiken, hvilket icke har skett. Det är icke nog att upprepa försäkringar här inför kammaren, att låta dem stå i svenska Riksdagens protokoll och att låta dylika försäkringar inflyta i trontalen. Nej, var då så god och vänd eder till dem, som propagera detta</w:t>
        <w:br/>
        <w:br/>
        <w:t>påstående det ena året efter det andra uti tidningar och böcker och som hafva lyckats komma ända derhän att förklara hvarje antydan om, att vi icke skola ställa oss i vasallförhållande till Tyskland i ett dess blifvande krig, som ett förräderi från vår sida — vänd eder till dem, det rätta hållet, och icke hit.</w:t>
        <w:br/>
        <w:br/>
        <w:t xml:space="preserve">Han frågade vidare, huru jag med den motion jag väckte i fjol om en skandinavisk neutralitetsförklaring vill förena denna, som — sade han — går ut på en »inblandning»&gt; uti ett förhållande mellan Tyskland och Danmark. Den går visst icke ut på en inblandning. Det kan ju icke bestridas, att här består mellan Sverige och Tyskland ett ouppgjordt rättsförhållande, som en gång i tiden skall lösas. Är det en inblandning, att svenska regeringen, i fall </w:t>
      </w:r>
      <w:r>
        <w:rPr>
          <w:b/>
        </w:rPr>
        <w:t>hon²</w:t>
      </w:r>
      <w:r>
        <w:rPr>
          <w:b w:val="0"/>
        </w:rPr>
        <w:t xml:space="preserve"> skulle följa den önskan, som jag uttalat, och sjelf toge initiativet till en uppgörelse, i denna förhandling uttalade en önskan, som på samma gång vore ett vädjande till den stora magtens rättskänsla och rättrådighet? Det är ju icke någon inblandning.</w:t>
        <w:br/>
        <w:br/>
        <w:t>Men jag förstår nu efteråt, huru detta från vår sida kan i hans ögon te sig så, eftersom han sedermera så ifrigt talade om den rättvisa, vi böra göra, och om den moraliska förpligtelse, som åligger oss, utan att med ett ord antyda, att någon rättvisa behöfver göras från Tysklands sida mot den skandinaviska nationaliteten, eller att någon moralisk förpligtelse åligger Tyskland i följd af det en gång gifna, men återtagna löftet från freden i Prag!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878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