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w:t>
      </w:r>
    </w:p>
    <w:p>
      <w:r>
        <w:rPr>
          <w:b/>
        </w:rPr>
        <w:t xml:space="preserve">Datum: </w:t>
      </w:r>
      <w:r>
        <w:t>1900-04-30</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von Strokirch (Första kammarens protektionistiska parti, man)</w:t>
      </w:r>
    </w:p>
    <w:p>
      <w:r>
        <w:rPr>
          <w:b w:val="0"/>
        </w:rPr>
        <w:t>Detta betänkande, hvaruti utskottet, på är age initiativ af enskild motionär, tillstyrker en årlig förhöjning i anslaget</w:t>
        <w:br/>
        <w:br/>
        <w:t>vid folkskolor till folkskolelärarkårens aflöning med icke mindre än 800,000 kronor, m.m synes mig vittna om en väl långt gången välvilja såväl mot kom-</w:t>
        <w:br/>
        <w:br/>
        <w:t xml:space="preserve">munerna som folkskoleinstitutionen, helst då vi besinna, att folkskole- Om lönelärarnes löneförmåner under de senare 15 åren och sist år 1898 forbättring undergått en väsentlig höjning. Då man jemför Riksdagens tillvägaför Järare gångssätt mot dessa lärare med dess behandling af lärarne vid statens </w:t>
      </w:r>
      <w:r>
        <w:rPr>
          <w:b/>
        </w:rPr>
        <w:t>lärarinnor³</w:t>
      </w:r>
      <w:r>
        <w:rPr>
          <w:b w:val="0"/>
        </w:rPr>
        <w:t xml:space="preserve"> elementarläroverk, är det en ganska stor skilnad. Dessa senare, då vidfolkskolor de efter mångåriga och kostbara studier stå färdiga att begynna sitt — »6 ». ansvarsfulla kall, tillbakasättas i viss mån såväl i afseende å löne- (Forts. förmåner som hvad beträffar befordringsutsigter och äfven i samhällsställning, hvaremot folkskolelärarne, efter en fyraårig kurs i och för sin utbildning, lätt nog erhålla anställning dels såsom ordinarie och dels såsom tillförordnade och extra ordinarie biträdande lärare. Det vill derför synas som om denna motion, hvarmed nu afses att ytterligare förhöja dessa folkskolelärares löner, icke borde af Riksdagen godkännas, så mycket mindre, som Riksdagen afslagit Kongl. Maj:ts proposition i afseende å löneförhöjning eller dyrtidstillägg åt våra tjenstemän, och detta, hvarom nu är fråga, i sjelfva verket icke är annat än ett maskeradt dyrtidstillägg. Mig synes derför, som;om denna motion ej bort behandlas på sätt nu skett, utan att frågan lämpligen bort uppskjutas till en kommande tidpunkt under afbidan på en efter i vederbörlig ordning skedd utredning om behofvet framlagd kongl. proposition. Utskottet har emellertid ansett annorlunda och i sitt betänkande andragit skäl, som enligt dess åsigt skulle tala för att en löneförbättring måtte komma dessa folkskolelärare till del. Utskottet säger, att ett dylikt behof gåfve sig mest till känna för de äldre inom denna kår, i följd af nödiga utgifter för familj, för barnens uppfostran och underhåll, och utskottet har derför valt formen af ett ytterligare ålderstillägg. Jag vill icke tillmäta detta utskottets skäl någon större betydelse, det förefaller mig mera såsom en fras än ett verkligt skäl, och jag anser derför, att hvad det ifrågasatta ålderstillägget vidkommer det icke bör för närvarande beviljas.</w:t>
        <w:br/>
        <w:br/>
        <w:t>Derefter kommer utskottet in på frågan om kofodret. Här föreslår utskottet, att det skulle utbytas mot en lösen af 100 kronor att tilläggas grundlönen, hvarefter hela grundlönen skulle faktiskt uppgå till 700 kronor, allt i afsigt att dermed underlätta möjligheten till förhöjd pension, och för den orsaken skulle ytterligare erfordras en höjning med 120,000 kronor i det nu för folkskolelärarnes pensionering utgående statsanslaget.</w:t>
        <w:br/>
        <w:br/>
        <w:t>Det kan ju möjligen vara skäl att förvandla kofodret till 100 kronor kontant, men detta är likväl en principfråga, hvilken borde först afgöras, helst utskottet föreslår, att staten skulle med två tredjedelar deltaga uti inlösen af detta kofoder, och denna principfråga hade enligt mitt förmenande bort uppställas såsom en särskild punkt i utskottets betänkande, för att inom Riksdagen debatteras och afgöras. Denna fråga är nemligen af den art, att om man börjar gifva sig in på den vägen, så drager den konseqvenser med sig i form af förnyade framställningar uti enahanda rigtning. Om Riksdagen nu beslutar sig för denna inlösen, ligger det antagandet nära till hands, att vederbörande inom kort komma med pretentioner på att staten på samma vilkor äfven skall lemna lösen för öfriga naturaförmåner, såsom husrum och vedbrand, m. m.; men huruvida det kan vara</w:t>
        <w:br/>
        <w:br/>
        <w:t xml:space="preserve">Om lönelämpligt att slå in på en sådan princip, vill jag lemna derhän. En oe ALE vacker dag skulle vi kanske få kunna emotse framställning om att och + ex. medellösa barn af folkskolelärare borde bekomma af staten ett </w:t>
      </w:r>
      <w:r>
        <w:rPr>
          <w:b/>
        </w:rPr>
        <w:t>lärarinnor³</w:t>
      </w:r>
      <w:r>
        <w:rPr>
          <w:b w:val="0"/>
        </w:rPr>
        <w:t xml:space="preserve"> Uppfostringsbidrag af två tredjedelar; har man väl börjat med att vid folkskolor taga första steget, kommer snart det andra efter.</w:t>
        <w:br/>
        <w:br/>
        <w:t>mom Helst skulle jag vid denna punkt hafva yrkat återremiss, för att Forts.) få berörda fråga utbruten från sjelfva klämmen, men då detta kanske endast skulle tjena till att utan framgång uppehålla tiden, anhåller</w:t>
        <w:br/>
        <w:br/>
        <w:t>jag endast att å den nu föredragna punkten få yrka afslag.</w:t>
      </w:r>
    </w:p>
    <w:p>
      <w:pPr>
        <w:pStyle w:val="Heading2"/>
      </w:pPr>
      <w:r>
        <w:t>2. Gottfrid Billing (Första kammarens protektionistiska parti, man)</w:t>
      </w:r>
    </w:p>
    <w:p>
      <w:r>
        <w:rPr>
          <w:b w:val="0"/>
        </w:rPr>
        <w:t>I åtskilligt af det, som den siste talaren anfört, kan jag gifva honom rätt, och det så mycket hellre, som en del af hvad han anfört emot utskottets förslag äfven af mig mer än en gång här i riksdagen framstälts som skäl för afslag å framställningar, som varit i viss mån likartade med det här nu föreliggande förslaget. Jag vill erkänna, att det kan hafva sina betänkligheter att på grund af en enskild motion besluta beviljandet af hvad som nu här blifvit föreslaget. Men å andra sidan får man väl medgifva, dels att framställningar angående det för folkskolelärare utgående kofodret lämpligen endast kunna komma från enskildt håll, ty af regeringen har man väl icke anledning att begära eller vänta någon sådan framställning, och dels att, så vidt jag mins, Riksdagen med afseende å förhöjning eller förbättring af folkskolelärarnes löneförmåner vid föregående tillfällen bifallit sådana förböjningar på grund af enskilda motioner.</w:t>
        <w:br/>
        <w:br/>
        <w:t>Jag vill likaså medgifva, att den siste talaren kan hafva rätt deruti, att, då det icke är längre än två år sedan folkskolelärarnes aflöningsförhållanden förbättrades genom beviljandet af ett andra ålderstillägg, det är något oväntadt, att redan i år nya framställningar om löneförbättringar framkommit. t denna tanke har utskottet också i sitt betänkande gifvit ett uttryck. Slutligen har den siste talaren frambållit de skäl, som många gånger förut — äfven af mig — anförts mot yrkande på att kofodret icke längre skulle utgå in natura eller endast lösas af kommunerna, utan att staten dervid skulle bidraga med samma proportion som i afseende å den kontanta aflöningen. Jag erkänner äfven, att dessa skäl fortfarande stå qvar och hafva sin relativa giltighet.</w:t>
        <w:br/>
        <w:br/>
        <w:t>Frågar mig då den siste talaren, hvarför jag för min del i alla fall kunnat gå in på hvad här nu är föreslaget, skall jag derom lemna honom följande besked.</w:t>
        <w:br/>
        <w:br/>
        <w:t>Här föreligga nu vid denna riksdag i berörda ärende framställningar af trenne slag.</w:t>
        <w:br/>
        <w:br/>
        <w:t>Först hafva vi motioner derom, att hvad som nu är folkskolelärarnes maximilön hädanefter skulle blifva deras minimilön eller med andra ord, att begynnelselönen skulle blifva 800 kronor, samt att aflöningen med två älderstillägg skulle uppgå till 1,000 kronor.</w:t>
        <w:br/>
        <w:br/>
        <w:t>Vidare föreligga bär motioner ifrån enskilda ledamöter af Andra Kammaren, att staten skulle åtaga sig hela kostnadan för ålderstilläggen, och att kommunerna således skulle vara befriade ifrån att deltaga i denna kostnad.</w:t>
        <w:br/>
        <w:br/>
        <w:t>Slutligen föreligger äfven den gamla frågan om kofodret. Det Om löne:</w:t>
        <w:br/>
        <w:br/>
        <w:t xml:space="preserve">förekom oss inom utskottet, som om det kunde vara skäl uti att nu, förbättring när så många olika framställningar förelågo, söka ernå en definitiv för "övare lösning af dessa frågor. Och skall jag säga, hvad som för mig varit </w:t>
      </w:r>
      <w:r>
        <w:rPr>
          <w:b/>
        </w:rPr>
        <w:t>lärarinnor³</w:t>
      </w:r>
      <w:r>
        <w:rPr>
          <w:b w:val="0"/>
        </w:rPr>
        <w:t xml:space="preserve"> det väsentliga skälet att nu gå in på hvad som här är föreslaget, vid folkskolor så vill jag nämna, att det helt enkelt varit det, att jag ansett, att PM Pr tiden nu kunde vara inne för att gå de mycket enbälliga och ihärdiga (Forts.) önskningarna inom Andra Kammaren till mötes i fråga om kofodret. Jag har ansett denna fråga vara af den beskaffenhet, att man både kan och bör göra ett medgifvande, derför att det är otvifvelaktigt, att det finnes goda grunder å ömse sidor för de särskilda yrkanden, som i denna fråga framkommit.</w:t>
        <w:br/>
        <w:br/>
        <w:t>Detta är det hufvudsakligaste skälet, som förmått mig att gå in på hvad som här nu föreslagits, och detta har jag ansett mig så mycket hellre kunna göra, som Första Kammaren för hvarje riksdag visat sig allt mer och mer benägen att gå de här framhållna önskningsmålen till mötes.</w:t>
        <w:br/>
        <w:br/>
        <w:t>Vidare har det synts mig, som om man nu borde vidtaga en definitiv' eller åtminstone en för en längre tid definitiv lösning at folkskolelärarnes aflöningsförhållanden. Utskottet har dervid ansett, att det, för att man skulle få en sådan definitiv lösning till stånd, icke förelåge skäl för att höja den ursprungliga minimilönen, men att det deremot kunde vara skäl att bevilja ett tredje ålderstillägg, då det ju är uppenbart, att, när en folkskolelärare tjenstgjort i 15 år, utgifterna för honom ställa sig drygast. Utskottet var slutligen alldeles ense om att på det allra bestämdaste tillbakavisa hvarje förslag om att staten skulle ensam öfvertaga en del af den kontanta aflöningen.</w:t>
        <w:br/>
        <w:br/>
        <w:t>Utskottet bar sålunda gjort den kombination, som här nu föreligger, hvilken icke innebär en förhöjning af folkskolelärarnes begynnelselön. Denna förblir densamma som pu, d. v. 8. 600 kronor plus kofodersersättning, hvilken beräknas till 100 kronor, hvadan alltså hela begynnelselönen skulle bli 700 kronor. Löneförbättringen skulle deremot bestå uti ett tredje ålderstillägg, hvaraf följa ytterligare förmåner i afseende å folkskolelärarnes egen och deras enkors pensionering. Vi blifva genom ett bifall till utskottets förslag befriade från den gamla kofodersfrågan, hvilken verkligen varit en idislingsfråga i så många är, att den synes mig nu kunna hafva blifvit tillräckligt idislad.</w:t>
        <w:br/>
        <w:br/>
        <w:t>Jag anhåller derför att få yrka bifall till den föredragna punkten.</w:t>
      </w:r>
    </w:p>
    <w:p>
      <w:pPr>
        <w:pStyle w:val="Heading2"/>
      </w:pPr>
      <w:r>
        <w:t>3. Hjalmar Palmstierna (Nya lantmannapartiet, man)</w:t>
      </w:r>
    </w:p>
    <w:p>
      <w:r>
        <w:rPr>
          <w:b w:val="0"/>
        </w:rPr>
        <w:t>Jag är visserligen icke mycket bevandrad i dessa frågor, men då ingen annan talare anmält sig, kan jag icke underlåta att yttra några ord. Med anledning deraf att Riksdagen tidigare afslagit de gjorda framställningarne om dyrtidstillägg för embetsoch tjenstemän och icke heller velat bereda de fattiga elementarlärarne och komministrarne en bättre ekonomisk ställning, så skulle, för den händelse den nu föreslagna löneförbättringen åt folkskolelärarne bifölles, de senare komma i en bättre ställning än de förre och ingen proportion finnas emellan deras löneförmåner, hvilket synes mig vara synnerligen olämpligt. Då för-</w:t>
        <w:br/>
        <w:br/>
        <w:t>Om löne: slaget i öfrigt framstälts af enskild motionär och dessutom innebär förbättring en ökad årlig utgift om 800,000 kronor, hemställer jag, herr grefve för lärare | Pa</w:t>
        <w:br/>
        <w:br/>
      </w:r>
      <w:r>
        <w:rPr>
          <w:b/>
        </w:rPr>
        <w:t>lärarinnor³</w:t>
      </w:r>
      <w:r>
        <w:rPr>
          <w:b w:val="0"/>
        </w:rPr>
        <w:t xml:space="preserve"> Det har visserligen sagts af den siste talaren, att frågan härividfolkskolor genom skulle blifva definitivt ordnad; men då man känner, hvilken</w:t>
        <w:br/>
        <w:br/>
        <w:t>mom utmärkt organisation folkskolelärarne ega, kan man vara öfvertygad</w:t>
        <w:br/>
        <w:br/>
        <w:t>någonting, som de ansåge sig väl behöfva.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