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920</w:t>
      </w:r>
    </w:p>
    <w:p>
      <w:r>
        <w:rPr>
          <w:b/>
        </w:rPr>
        <w:t xml:space="preserve">Datum: </w:t>
      </w:r>
      <w:r>
        <w:t>1902-05-11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Swartling (Utan partibeteckning, man)</w:t>
      </w:r>
    </w:p>
    <w:p>
      <w:r>
        <w:rPr>
          <w:b w:val="0"/>
        </w:rPr>
        <w:t xml:space="preserve">Jag skall be att få hemställa, att kammaren ville besluta, att å morgondagens föredragningslista ärendena måtte uppföras i följande ordning: i första rummet statsutskottets utlåtande n:o 84, i anledning af Kongl. Maj:ts proposition angående upplåtande af vissa delar af kronodomänen Bona till anordnande af en af staten inrättad tvångsuppfostringsanstalt; i andra rummet statsutskottets utlåtande n:o 86, med anledning af Kongl. Maj:ts i statsverkspropositionen gjorda framställning angående anslag till byggnader m. m. för en tvångsuppfostringsanstalt å kronodomänen Bona; i tredje rummet statsutskottets utlåtande n:o 87, angående beräkningen af statsverkets ordinarie inkomster; i fjerde rummet sammansatta statsoch lagutskottets utlåtande n:o 7, i anledning af Kongl. Maj:ts i statsverkspropositionen under åttonde hufvudtiteln gjorda framställning angående statsbidrag till aflönande af vikarie för lärare eller </w:t>
      </w:r>
      <w:r>
        <w:rPr>
          <w:b/>
        </w:rPr>
        <w:t>lärarinna³</w:t>
      </w:r>
      <w:r>
        <w:rPr>
          <w:b w:val="0"/>
        </w:rPr>
        <w:t xml:space="preserve"> vid högre folkskola; och i femte rummet bevillningsutskottets betänkande n:o 38, angående beräkning af vissa bevillningar för år 1903, samt derefter de öfriga ärendena i den ordning, uti hvilken de finnas upptagna på dagens föredragningslista.</w:t>
        <w:br/>
        <w:br/>
        <w:t>hvilken infallit före dessa bestämmelsers trädande i tillämpning, men gRröat med vilkor för inträde i rätten till ålderstillägg, att de vederbörande Forks]</w:t>
        <w:br/>
        <w:br/>
        <w:t>professor, bibliotekarie eller räntmästare tillkommande förmåner, i Upsala af åkerlott, humlegårdsersättning och ved samt i Lund af ängslott eller vederlag derför, skola indragas och värdena af dessa förmåner i stället årligen ingå till vederbörande universitet för att i dess räkenskaper särskildt redovisas samt användas såsom bidrag till bestridande af utgifterna för ålderstilläggen;</w:t>
        <w:br/>
        <w:br/>
        <w:t>att tjensteman, som ingår på de nya bestämmelserna, skall, då han uppnått 65 lefnadsår, vara förpligtad att med oafkortad lön såsom pension å allmänna indragningsstaten från tjensten afgå, Kongl. Maj:t dock obetaget att låta med afskedet anstå, derest och så länge den pensionsberättigade pröfvas kunna i tjensten på ett tillfredsställande sätt gagna det allmänna och kan finnas villig att i densamma qvarstå;</w:t>
        <w:br/>
        <w:br/>
        <w:t>marens beslut, afslagit utskottets berörda hemställan.»</w:t>
      </w:r>
    </w:p>
    <w:p>
      <w:pPr>
        <w:pStyle w:val="Heading2"/>
      </w:pPr>
      <w:r>
        <w:t>2. Hjalmar Westring (–, man)</w:t>
      </w:r>
    </w:p>
    <w:p>
      <w:r>
        <w:rPr>
          <w:b w:val="0"/>
        </w:rPr>
        <w:t>Herr Ollas A. Ericsson har med kammarens samtycke till mig framstält den frågan, hvilka åtgärder regeringen vidtagit eller ämnar vidtaga i anledning af den s. k. norrlandskomiténs framställning, att Kongl. Maj:t täcktes för innevarande års Riksdag framlägga förslag till provisorisk lag om förbud för bolag och föreningar att förvärfva jord på landet inom Norrland och Dalarne, af hufvudsakligen samma innehåll som ett år 1901 af Andra Kammaren antaget lagförslag i ämnet.</w:t>
        <w:br/>
        <w:br/>
        <w:t>På sätt interpellanten erinrat, hafva öfver det af nämnda komité framlagda förslag till provisorisk lag utlåtanden inhemtats från Konungens betallningsbafvande i de län, som skulle beröras af den ifrågasatta lagstiftningsåtgärden, samt derefter från högsta domstolen.</w:t>
        <w:br/>
        <w:br/>
        <w:t>I samtliga de afgifna utlåtandena afstyrktes lagförslaget. De zanmärkningar, som dervid blefvo emot detsamma ur olika synpunkter framstälda, befunnos också vara af den vigt, att en ganska genomgående omarbetning af förslaget uppenbarligen måste ega rum för att detsamma skulle kunna framläggas för Riksdagen.</w:t>
        <w:br/>
        <w:br/>
        <w:t>Vid sådant förhållande och då det ansågs vara synnerligen önskvärdt, att åtgärder kunde snarast möjligt vidtagas i syfte att motverka de öfverklagade missförhållandena inom Norrland och Dalarne, föranstaltades om upprättande af förslag till sådana ändringar, hvarigenom åtminstone de väsentligaste af de framstälda anmärkningarne kunde anses undanröjda. De sålunda anstälda försöken hafva emellertid, oaktadt all derpå använd omsorg, icke ledt till något tillfredsställande resultat. Det har nemligen icke lyckats att med bibebhål-</w:t>
        <w:br/>
        <w:br/>
        <w:t>lande af komitéförslagets hufvudgrunder finna någon anordning, hvarigenom de med den ifrågasatta lagstiftningen åsyftade fördelar skulle i afsevärd mån vinnas, utan att minst lika stora olägenheter i rättsligt, ekonomiskt och socialt afseende framkallas.</w:t>
        <w:br/>
        <w:br/>
        <w:t>Då af hvad sålunda förekommit kunde anses framgå, att en provisorisk förbudslagstiftning på grundval af komitéförslaget icke läte sig genomföra, har statsrädet icke ansett sig kunna tillstyrka komiténs framställning om framläggande för innevarande års Riksdag af förslag till provisorisk förbudslag.</w:t>
        <w:br/>
        <w:br/>
        <w:t>Det kan naturligtvis icke vara lämpligt att föregripa den åt komitén anförtrodda utredning. Jag tillåter mig dock uttala den förmodan, att den rigtiga lösningen består i positiva åtgärder till uppmuntrande af det nuvarande jordbruket och befrämjande af kolonisation å odlingsbara områden samt i vidtagandet af vissa delvis redan förberedda ändringar af skogsoch egodelningslagstiftningen. Dylika mått och steg skulle, i motsats emot de nu af komitén föreslagna, kunna erhålla verksamhet äfven i afseende å den jord, som redan för närvarande eges af bolag. När förslag i sådant syfte föreligga — hvilket jag hoppas må i en snar framtid inträffa — komma de helt säkert att hos både regering och representation, oberoende af politiska rigtningar, finna den skyndsamma och intresserade behandling, som sakens utomordentliga vigt kräfver.</w:t>
      </w:r>
    </w:p>
    <w:p>
      <w:pPr>
        <w:pStyle w:val="Heading2"/>
      </w:pPr>
      <w:r>
        <w:t>3. Ollas Anders Ericsson (Bondeförbundet, man)</w:t>
      </w:r>
    </w:p>
    <w:p>
      <w:r>
        <w:rPr>
          <w:b w:val="0"/>
        </w:rPr>
        <w:t xml:space="preserve">Herr talman! Jag ber att till hans excellens herr statsministern få framföra min tacksamhet för att han behagat svara på mitt spörsmål. Den fråga, hvarom detsamma handlar, följes med mycket stort intresse på många hållinom landet, och särskildt i de norra landskapen har man under hela vintern väntat på, att regeringen skulle taga densamma om hand. Visserligen får man höra åtskilliga anmärkningar emot norrlandskomiténs förslag, och man har nu fått höra detsamma från herr statsministern. Jag fick likväl icke något närmare besked, om hvilka de skäl varit, som utgjort grunden för dessa betänkligheter, men jag har under vintern hört framkastas åtskilligt derom, att man hyst farhågor, att förslaget skulle innebära en kränkning af eganderätten. Till svar å denna anmärkning ber jag att få erinra derom, att denna kränkning af eganderätten är en ren bagatell i jemförelse med hvad man fordom vid åtskilliga tillfällen måst tillgripa för att få den svenska jorden i rätter hand. Vid dessa tillfällen har man nog ropat på våld, men efterkommande tider hafva gifvit dess utöfvare det omdömet, att de varit stora och framsynta statsmän. Nu är den svenska jorden återigen på väg att komma ifrån sina naturliga brukare, och frågan gäller för närvarande endast att vidtaga åtgärder för att bevara hvad som är qvar. Det synes emellertid, som om statsmakterna för närvarande icke skulle kunna fatta farans vidd förr än det heter: för sent. Jag vill ej klandra den nuvarande regeringen för </w:t>
      </w:r>
      <w:r>
        <w:rPr>
          <w:b/>
        </w:rPr>
        <w:t>hennes²</w:t>
      </w:r>
      <w:r>
        <w:rPr>
          <w:b w:val="0"/>
        </w:rPr>
        <w:t xml:space="preserve"> betänksamhet, men vi bafva emellertid ganska färska exempel på, då regeringen med energi förordat vidtagandet af vissa åtgärder i strid mot Högsta domstolens enhälliga afstyrkande, och då </w:t>
      </w:r>
      <w:r>
        <w:rPr>
          <w:b/>
        </w:rPr>
        <w:t>hon²</w:t>
      </w:r>
      <w:r>
        <w:rPr>
          <w:b w:val="0"/>
        </w:rPr>
        <w:t xml:space="preserve"> jemväl lyckats få Riksdagen med sig.</w:t>
        <w:br/>
        <w:br/>
        <w:t>Jag tror således, att regeringen, medveten om de vigtiga intres- Svar å inter-</w:t>
        <w:br/>
        <w:br/>
        <w:t>sen, som här stå på spel, har, trots myndigheternas afstyrkande, haft långt starkare skäl att nu ingripa, och detta så mycket mer, som regeringen på förhand vetat, att den bakom norrlandskomiténs förslag haft åtminstone Andra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