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925</w:t>
      </w:r>
    </w:p>
    <w:p>
      <w:r>
        <w:rPr>
          <w:b/>
        </w:rPr>
        <w:t xml:space="preserve">Datum: </w:t>
      </w:r>
      <w:r>
        <w:t>1902-05-16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Olof Lundell (Lantmanna- och borgarepartiet inom andrakammaren, man)</w:t>
      </w:r>
    </w:p>
    <w:p>
      <w:r>
        <w:rPr>
          <w:b w:val="0"/>
        </w:rPr>
        <w:t>Jag har begärt ordet icke för att göra ett inlägg</w:t>
        <w:br/>
        <w:br/>
        <w:t>valrätten till; sjelfva frågan, hvilken nu torde vara utdebatterad, utan endast för</w:t>
        <w:br/>
        <w:br/>
        <w:t xml:space="preserve">och dess följder. Jag tror, att den fordrar litet mera uppmärksamhet än man hittills velat egna åt densamma. Jag skall särskildt bedja att få vitsorda de uppgifter, som af justitieministern meddelades på förmiddagen angående det stora missnöje med strejken, som råder bland en stor del af Stockholms arbetare, hvilket herr Branting precis icke vill erkänna. Jag har icke fått mina uppgifter från det håll, hvarifrån herr Hans Andersson fått sina, nemligen från någon, som ville sälja. Såsom vi veta, är det just </w:t>
      </w:r>
      <w:r>
        <w:rPr>
          <w:b/>
        </w:rPr>
        <w:t>hustrurna²</w:t>
      </w:r>
      <w:r>
        <w:rPr>
          <w:b w:val="0"/>
        </w:rPr>
        <w:t xml:space="preserve"> och barnen, som svårast få kännas vid följderna af strejken. Jag har fått några uppgifter i detta hänseende af ett </w:t>
      </w:r>
      <w:r>
        <w:rPr>
          <w:b/>
        </w:rPr>
        <w:t>hjelphustrupar²</w:t>
      </w:r>
      <w:r>
        <w:rPr>
          <w:b w:val="0"/>
        </w:rPr>
        <w:t xml:space="preserve"> i det hus, hvari jag bor, hvilka i högsta grad beklagade sig öfver det tillstånd, som denna strejk beredt arbetareklassen, och om herr Branting, hvilken i fråga om herr Waldenströms uppgifter betviflade rigtigheten af desamma, vill komma till mig, skall han få reda på de uppgifter jag fått, och han skall få fullgoda vitsord om deras rigtighet. De hafva talat om, att personer af deras anhöriga, hvilka icke på vilkor ville vara med om strejken, blefvo hotade till och med till lifvet, om de icke deltoge i strejken. Så förhåller det sig med entusiasmen för denna strejk. Denna fråga fordrar uppmärksamhet både från regeringen och Riksdagen och icke minst från tidningspressen. Vi se nu referenterna här på Riksdagens referentläktare göra sina anteckningar, men hela tidpingspressen i hufvudstaden är förstummad. Denna press, som i vanliga fall har så mycket inflytande på ärendena, har nu alldeles förlorat sin yttranderätt. Vi hafva beklagat våra grannar finnarne och ryssarne för den svåra censur, som pressen derstädes är underkastad; men jag tror icke, att någon skall kunna leta fram en sådan censur hvarken i Finland eller Ryssland, som den vi fått upplefva under dessa dagar. Hvad hufvudstaden beträffar, får man visserligen se en och annan liten lapp utanför tidningskontoren, hvilken innehåller ett och annat meddelande, men hvilken betydelse har denna hufvudstadens press för landsorten, om det skall blifva ett system, att en fackförening skall kunna bestämma, om pressen skall hafva yttranderätt eller icke. Vi hafva varit stolta öfver vår tryckfrihet, men nu är den undertryckt. I Socialdemokraten har jag sett uppgifter i fråga om den censur, som skulle utöfvas af fackföreningarne gent emot tidningspressen. Ar det något misshagligt, skola dessa fackföreningar bestämma, om det får sättas eller icke. Något dylikt har nu satts i fråga gent emot Stockholmsbladet och Nya Dagligt Allehanda. Det har äfven talats om att ett litet pressorgan skulle gifvas ut under strejkdagarne, men att der icke skulle få tryckas annat än som fackföreningarnas öfverstyrelse medgifvit vara oskadligt. Detta är naturligtvis ett tillstånd, som blir olidligt, och som skall göra vår tredje statsmakts inflytande af obetydligt eller intet värde. Jag prenumererar på tre</w:t>
        <w:br/>
        <w:br/>
        <w:t>Stockholmstidningar och har erlagt min prenumerationsafgift. I deras prenumerationsanmälan står, att de skulle komma ut så och så ofta. De hafva emellertid under de senaste båda dagarne icke kommit mig tillhanda. Hvilken aktning kan man hafva för en sådan press? Den skulle ju icke kunna få något vidare inflytande, om det nu skulle fortgå på detta sätt. Detta är kontraktsbrott mot 100,000-tals prenumeranter.</w:t>
        <w:br/>
        <w:br/>
        <w:t>Det är endast dessa omständigheter, som jag velat pointera och fästa uppmärksamheten på, och hvilka vi böra taga i betraktande, då vi nu hafva rösträttsfrågan under behandling och under afgörande. Vi böra se till, att det icke blir ett envälde, som här kommer att göra sig gällande. Herr Branting citerade i går qväll ett hänförande skaldestycke om frihet och sjelfständighet, men dessa fackföreningar icke allenast föra ett tyranniskt regemente i staten, utan vilja taga hela staten om hand, och hvart tar då friheten vägen? Jo, då kan det blifva som en annan skald diktat, nemligen i den storslagna dikten Svea, der det heter: »Du bär ej utländskt ok, ditt eget ok är värre». Så kan det blifva, om vi icke taga tidens tecken i akt vid denna frågas afgörande.</w:t>
      </w:r>
    </w:p>
    <w:p>
      <w:pPr>
        <w:pStyle w:val="Heading2"/>
      </w:pPr>
      <w:r>
        <w:t>2. Nils Olsson (Lantmannapartiet, man)</w:t>
      </w:r>
    </w:p>
    <w:p>
      <w:r>
        <w:rPr>
          <w:b w:val="0"/>
        </w:rPr>
        <w:t>Jag skall icke taga kammarens tid i anspråk mera än en minut. Hade jag varit närvarande i går, då min kamrat i utskottet och i kammaren yttrade sig, skulle jag, om jag hört innehållet af hans anförande, obetingadt slutit mig till detsamma. Men jag var då för ett ögonblick borta ur kammaren, hvarför jag nu ber att få säga ett par ord.</w:t>
        <w:br/>
        <w:br/>
        <w:t>Det kan icke förundra någon, om man vid en så pass vigtig fråga som den närvarande är tveksam om det steg, som bör tagas. Jag tänker nu närmast på den provins, den ort man tillhör, och hvilka verkningar en eventuell rösträttsreform i ena eller andra afseendet skulle för denna komma att hafva. För den händelse regeringens förslag eller utskottets förslag skulle blifva Riksdagens beslut, skulle från hela Södermanland icke en enda landtbruksrepresentant blifva vald, det är alldeles säkert. De mindre handtverkarne och industriarbetarne skulle få majoritet i hela Södermanland med undantag möjligen af en valkrets. Då kan ingen förundra sig, om man ställer sig tveksam vid ettsådant fall. Om man också erkänner, att jordbruket hittills haft något för stort inflytande i kammaren — det vill jag icke bestrida, ty der bör inrymmes plats för alla intressen, — så är det väl å andra sidan lika nödvändigt att tillse, att icke absolut öfvervägande makt inrymmes åt någon annan klass heller, hvilket skulle för vår provins blifva förhållandet.</w:t>
        <w:br/>
        <w:br/>
        <w:t>Det oaktadt har jag inom utskottet röstat för utskottets förslag, dock med den önskan att städerna skulle likställas med landsbygden.</w:t>
        <w:br/>
        <w:br/>
        <w:t>Då man talat så mycket om, hvad folket tänker, har man särskildt fäst sig vid, hvad folket tänker i Stockholm. Men vi landsortsrepresentanter känna till tänkesätten i landsorten, och det kan</w:t>
        <w:br/>
        <w:br/>
        <w:t>jag försäkra herrarne, att i landsorten är entusiasmen för rösträttsreformen icke så stor. Jag tror till och med, att om man frågade majoriteten bland mina valmän. skulle de säga, det är bra som et är.</w:t>
        <w:br/>
        <w:br/>
        <w:t>Jag kan icke underlåta att yttra ett par ord till den talare på stockholmsbänken, som med sådan kraft framhöll de bevis på entusiasm, som man i dessa dagar fått bevittna. Men denna entusiasm hafva de blifvit befalda att visa, så att den är sannerligen icke mycket värd. ”Talaren har sjelf erkänt, att de blifvit befalda dertill. Ur ett manifest — så tror jag det kallades — uppläste han orden: »påtryckning anbefalles»&gt;. Ja, de hafva icke blott blifvit befalda, saken är äfven förenad med ekonomiska uppoffringar, som jag vet, att många af dem bedt att få slippa. Jag har hört arbetare klaga öfver att de äro tvungna att lyda.</w:t>
        <w:br/>
        <w:br/>
        <w:t xml:space="preserve">Under sådana förhållanden och då litet hvar måste </w:t>
      </w:r>
      <w:r>
        <w:rPr>
          <w:b/>
        </w:rPr>
        <w:t>maka³</w:t>
      </w:r>
      <w:r>
        <w:rPr>
          <w:b w:val="0"/>
        </w:rPr>
        <w:t xml:space="preserve"> åt sig i sina åsigter, och då stämningen i kammaren är sådan, synes det, med de åsigter jag hyser, knappt återstå något annat än att yrka bifall till: utskottets förslag med de ändringar, som herr Pehrson i Törneryd föreslagit.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