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929</w:t>
      </w:r>
    </w:p>
    <w:p>
      <w:r>
        <w:rPr>
          <w:b/>
        </w:rPr>
        <w:t xml:space="preserve">Datum: </w:t>
      </w:r>
      <w:r>
        <w:t>1903-02-13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Halvar Eriksson (–, man)</w:t>
      </w:r>
    </w:p>
    <w:p>
      <w:r>
        <w:rPr>
          <w:b w:val="0"/>
        </w:rPr>
        <w:t>Herr talman! Jag har väntat, att någon skulle uppträda och bemöta ett påstående af den förste talaren, men då så ej skett, har jag begärt ordet för att för min del inlägga en gensaga mot detta påstående.</w:t>
        <w:br/>
        <w:br/>
        <w:t>Herr Redelius yttrade nämligen, att han trodde det vara möjligt, att åtskilliga personer voro uteslutna ur svenska statskyrkan utan att de själfva visste det, och han avgaf ungefär hvilken ståndpunkt dessa intogo, som han ansåge borde vara uteslutna. Det är sant, att han</w:t>
        <w:br/>
        <w:br/>
        <w:t>i nästa ögonblick var färdig att återtaga detta uttalande. Men jag frågar: huru kan ett sådant uttalande vara möjligt af en kyrkans man, ett uttalande, som ju innebär en viss dubbelhet? Till denna argumentation kom han, då ju kyrkan har en dubbel uppgift, hvilket visar sig däri, att den å ena sidan är sammankopplad med och ett med staten och å den andra sidan är satt att vara en kristen kyrka. I senare fallet, såsom varande en kristen kyrka, har den naturligtvis sina bekännelseskrifter. Skulle den såsom en kristen kyrka följa dessa bekännelseskrifter, hvilka kanske i mångt och mycket ansluta sig till nya testamentets lära, skulle däraf följa, att kyrkan blefve nödsakad att utesluta sina medlemmar? Men ett faktum är, att om bekännelseskrifterna urgeras i denna punkt, så förhåller det sig med dem ungefär på samma sätt som med åtskilliga andra af våra lagar.</w:t>
        <w:br/>
        <w:br/>
        <w:t>I går, om jag icke misstager mig, uppvisades i tillfälliga utskottet n:o 1 en lag, enligt hvilken det vore förbjudet för ungdomen att röka tobak, en lag som visserligen för oss icke har någon betydelse, men som dock ingen kan uppvisa vara upphäfd. Många sådana författningar finnas här i landet, men de äro naturligtvis omöjliga att tillämpa. På samma sätt förekomma i våra bekännelseskrifter grundsatser, som icke låta tillämpa sig i det praktiska lifvet, en sådan är läran om uteslutning. Att då åberopa sådana i Riksdagen synes mig vara ett nonsens. För min del inlägger jag min bestämda protest däremot.</w:t>
        <w:br/>
        <w:br/>
        <w:t xml:space="preserve">Då denna fråga för några år sedan var före här i kammaren, gaf lagutskottets dåvarande vice ordförande — numera medlem af Konungens råd — en definition på statskyrkan. Han utgaf </w:t>
      </w:r>
      <w:r>
        <w:rPr>
          <w:b/>
        </w:rPr>
        <w:t>henne²</w:t>
      </w:r>
      <w:r>
        <w:rPr>
          <w:b w:val="0"/>
        </w:rPr>
        <w:t xml:space="preserve"> icke, såsom en föregående talare gjorde, för att vara en Guds församling, utan sade att statskyrkan vore en statsinstitution, som hade att taga hand om personer, hvilka icke hade någon andlig vård på andra håll; och på denna grund höll han före, att personer icke borde få lämna henre utan att först uppgifva det kristna trossamfund, hvartill de ville öfvergå. Denna definition kan jag förstå, och den är väl, synes det mig, den riktigaste. Hvad beträffar den motsatta ståndpunkten, så inlägger jag min protest däremot.</w:t>
        <w:br/>
        <w:br/>
        <w:t>Jag har, herr talman, intet annat yrkande att göra än på bifall till utskottets hemställan.</w:t>
      </w:r>
    </w:p>
    <w:p>
      <w:pPr>
        <w:pStyle w:val="Heading2"/>
      </w:pPr>
      <w:r>
        <w:t>2. Otto Redelius (–, man)</w:t>
      </w:r>
    </w:p>
    <w:p>
      <w:r>
        <w:rPr>
          <w:b w:val="0"/>
        </w:rPr>
        <w:t>Till svar å den replik, som nyss riktats mot mig, ber jag att få hänvisa till 1855 års ännu gällande förordning, hvilken naturligtvis måste tillämpas och verkligen tillämpas. Jag ber att få tillägga, att jag öppet kan tillstå, att jag i svenska kyrkans gemenskap återupptagit personer, som varit uteslutna på grund af 1855 års förordning och som vid samtal mellan fyra ögon sagt mig, att de icke vetat af att de varit uteslutna, men att de erkände riktigheten af förhållandet, när de blifvit upplysta om detsamma.</w:t>
      </w:r>
    </w:p>
    <w:p>
      <w:pPr>
        <w:pStyle w:val="Heading2"/>
      </w:pPr>
      <w:r>
        <w:t>3. Fredrik Barnekow (Lantmannapartiet, man)</w:t>
      </w:r>
    </w:p>
    <w:p>
      <w:r>
        <w:rPr>
          <w:b w:val="0"/>
        </w:rPr>
        <w:t>Herr talman, mine herrar! Det har i Angående</w:t>
        <w:br/>
        <w:br/>
        <w:t>dag yttrats något, som jag icke kan underlåta att taga fasta på, då vidgad rätt e vu Prb o os] &gt; In till utträde ur jag deltagit i diskussion om denna fråga såväl i Första Kammaren statskyrkan. som i kyrkomötet och i Andra Kammaren samt vid dessa tillfällen = (Forts.) alltid förfäktat den åsikten, att jag icke kan förstå, att man från kyrkans ståndpunkt vill motsätta sig detta. Det måste nämligen ovillkorligen vara en fördel för kyrkan att blifva af med dessa personer. Däremot kan jag inse, att staten möjligen kunde hålla på den nuvarande ordningen, därför att staten kunde finna med sin fördel förenadt att någon finnes, som håller reda på dessa personer, och därtill finner kyrkan som statskyrka lämplig.</w:t>
        <w:br/>
        <w:br/>
        <w:t>I dag har emellertid någonting inträffat, som jag skall be att få</w:t>
        <w:br/>
        <w:br/>
        <w:t xml:space="preserve">meddela. Jag var i Första Kammaren under diskussionen i denna fråga. Där uppträdde en af kyrkans främste män och förklarade, att han från kyrkans ståndpunkt kunde gå med på detta och att kyrkan icke begärde bättre, än att dessa personer blefve skilda från </w:t>
      </w:r>
      <w:r>
        <w:rPr>
          <w:b/>
        </w:rPr>
        <w:t>henne²</w:t>
      </w:r>
      <w:r>
        <w:rPr>
          <w:b w:val="0"/>
        </w:rPr>
        <w:t>. En annan talare i denna kammare — också en framstående man på det kyrkliga området — har sagt detsamma och gått så långt, att han yrkat bifall till utskottets förslag. Vi hafva således kommit ett stycke på vägen, och jag hoppas och tror, att om dessa framstående män en gång, när frågan förekommer i kyrkomötet, framhålla detsamma, så skall det möjligen blifva kyrkomötets beslut, att kyrkomötet från kyrkans ståndpunkt kan gå in härpå, och är förslaget en gång från den synpunkten antaget af kyrkomötet, så undrar jag, om Första Kammaren skall sätta sig emot detsamma. Andra Kammaren tviflar jag icke på.</w:t>
        <w:br/>
        <w:br/>
        <w:t>Herr talman, jag yrkar bifall till utskottets förslag.</w:t>
        <w:br/>
        <w:br/>
        <w:t>Öfverläggningen i detta ämne var härmed afslutad. Efter af herr talmannen å de därunder gjorda yrkandena framställda propositioner biföll kammaren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