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w:t>
      </w:r>
    </w:p>
    <w:p>
      <w:r>
        <w:rPr>
          <w:b/>
        </w:rPr>
        <w:t xml:space="preserve">Datum: </w:t>
      </w:r>
      <w:r>
        <w:t>1903-02-14</w:t>
      </w:r>
    </w:p>
    <w:p>
      <w:r>
        <w:rPr>
          <w:b/>
        </w:rPr>
        <w:t xml:space="preserve">Kammare: </w:t>
      </w:r>
      <w:r>
        <w:t>Första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Birger Hasselrot (–, man)</w:t>
      </w:r>
    </w:p>
    <w:p>
      <w:r>
        <w:rPr>
          <w:b w:val="0"/>
        </w:rPr>
        <w:t>Enligt min uppfattning är vår närvarande lagstiftning rörande arfsrätten baserad på den grundsats, att denna rätt är en familjerätt, och jag tror denna grundsats vara riktig. För att arfsrätt skall tillkomma någon, bör han alltså enligt vår lag vara</w:t>
        <w:br/>
        <w:br/>
        <w:t>medlem af den familj, från hvilken arfvet härleder sig. Det oäkta barnet såsom sådant tillhör emellertid icke någon familj, och under sådana förhållanden har det ingen rätt till arf efter sina föräldrar eller deras fränder.</w:t>
        <w:br/>
        <w:br/>
        <w:t>Detta kan synas vara ett hårdt tal, men det kan, så vidt jag förstår, icke hjälpas. Det finnes väl knappast någon i kammaren, som hyser varmare medkänsla än jag för den mycket svåra ställning, hvari de oäkta barnen ofta befinna sig. Men sådana beklagliga förhållanden finnas på många andra områden, såsom om barn födes vanskapligt, om dess föräldrar, ehuru gifta, äro ytterligt utarmade, eller om det tidigt, till följd af föräldrars död eller af annan anledning, blir alldeles lämnadt utan huld och skydd, hvilka beklagliga förhållanden dock icke kunna afhjälpas på lagstiftningens väg.</w:t>
        <w:br/>
        <w:br/>
        <w:t xml:space="preserve">Den nuvarande lagbestämmelsen därom, att ett oäkta barn tillkommer en viss del af </w:t>
      </w:r>
      <w:r>
        <w:rPr>
          <w:b/>
        </w:rPr>
        <w:t>moderns²</w:t>
      </w:r>
      <w:r>
        <w:rPr>
          <w:b w:val="0"/>
        </w:rPr>
        <w:t xml:space="preserve"> kvarlåtenskap, innebär, efter mitt förmenande, icke någon verklig arfsrätt, utan endast en förklädd testamentsrätt. Man utgår från den synpunkten, att modern i regel vill lämna sitt barn den kvarlåtenskap, </w:t>
      </w:r>
      <w:r>
        <w:rPr>
          <w:b/>
        </w:rPr>
        <w:t>hon²</w:t>
      </w:r>
      <w:r>
        <w:rPr>
          <w:b w:val="0"/>
        </w:rPr>
        <w:t xml:space="preserve"> har, och för att undvika den svårighet, som mången gång upprättandet af ett formligt testamente kan erbjuda, har lagstiftaren anvisat </w:t>
      </w:r>
      <w:r>
        <w:rPr>
          <w:b/>
        </w:rPr>
        <w:t>henne²</w:t>
      </w:r>
      <w:r>
        <w:rPr>
          <w:b w:val="0"/>
        </w:rPr>
        <w:t xml:space="preserve"> den enkla utvägen att låta anteckna barnet i kyrkoboken såsom sitt, i och med hvilken förklaring det oäkta barnet hittills har kommit att få ärfva hälften emot äkta barn. Enligt den reservation, jag tillåtit mig foga till utskottets utlåtande, skulle det oäkta barnet under sådana förhållanden få samma arfsrätt som äkta barn.</w:t>
        <w:br/>
        <w:br/>
        <w:t xml:space="preserve">I detta fall är det </w:t>
      </w:r>
      <w:r>
        <w:rPr>
          <w:b/>
        </w:rPr>
        <w:t>moderns²</w:t>
      </w:r>
      <w:r>
        <w:rPr>
          <w:b w:val="0"/>
        </w:rPr>
        <w:t xml:space="preserve"> fria vilja, som är bestämmande; vill </w:t>
      </w:r>
      <w:r>
        <w:rPr>
          <w:b/>
        </w:rPr>
        <w:t>hon²</w:t>
      </w:r>
      <w:r>
        <w:rPr>
          <w:b w:val="0"/>
        </w:rPr>
        <w:t xml:space="preserve"> gifva sitt barn arfsrätt på detta enkla sätt, så kan </w:t>
      </w:r>
      <w:r>
        <w:rPr>
          <w:b/>
        </w:rPr>
        <w:t>hon²</w:t>
      </w:r>
      <w:r>
        <w:rPr>
          <w:b w:val="0"/>
        </w:rPr>
        <w:t xml:space="preserve"> göra det, vill </w:t>
      </w:r>
      <w:r>
        <w:rPr>
          <w:b/>
        </w:rPr>
        <w:t>hon²</w:t>
      </w:r>
      <w:r>
        <w:rPr>
          <w:b w:val="0"/>
        </w:rPr>
        <w:t xml:space="preserve"> det däremot icke, så får barnet icke någon arfsrätt. Detta är efter mitt förmenande den principiellt riktiga ståndpunkten.</w:t>
        <w:br/>
        <w:br/>
        <w:t xml:space="preserve">Nu invänder man emellertid, att anteckningen i kyrkoboken icke har den effekt, som man därmed åsyftat, då modern i regel icke låter anteckna barnet som sitt och barnet sålunda mister all rätt till </w:t>
      </w:r>
      <w:r>
        <w:rPr>
          <w:b/>
        </w:rPr>
        <w:t>moderns²</w:t>
      </w:r>
      <w:r>
        <w:rPr>
          <w:b w:val="0"/>
        </w:rPr>
        <w:t xml:space="preserve"> kvarlåtenskap. När denna fråga för tre år sedan var före i denna kammare, kunde jag dock lämna den upplysning, att, sedan år 1885 ett cirkulär utfärdats till prästerskapet med uppmaning att i alla dylika fall underrätta </w:t>
      </w:r>
      <w:r>
        <w:rPr>
          <w:b/>
        </w:rPr>
        <w:t>mödrar²</w:t>
      </w:r>
      <w:r>
        <w:rPr>
          <w:b w:val="0"/>
        </w:rPr>
        <w:t xml:space="preserve"> till oäkta barn om hvad de hade att iakttaga för att förskaffa sina barn arfsrätt, från ett stort antal pastorat i olika delar af landet för mig uppgifvits, att dylik anteckning i kyrkoboken i regel äger rum. Sedan dess har jag ytterligare härom tillfrågat flera präster i olika stift och fått den upplysning, att det endast är helt undantagsvis, som dylik anteckning icke sker.</w:t>
        <w:br/>
        <w:br/>
        <w:t xml:space="preserve">Såsom jag redan nämnt, skulle enligt den af mig afgifna reservationen de oäkta barnen få del i </w:t>
      </w:r>
      <w:r>
        <w:rPr>
          <w:b/>
        </w:rPr>
        <w:t>moderns²</w:t>
      </w:r>
      <w:r>
        <w:rPr>
          <w:b w:val="0"/>
        </w:rPr>
        <w:t xml:space="preserve"> kvarlåtenskap lika med andra barn, om och när modern låtit anteckna barnet i kyrkoboken såsom sitt, därvid jag utgått från den förutsättning, att modern säker-</w:t>
        <w:br/>
        <w:br/>
        <w:t xml:space="preserve">ligen hade alla sina barn lika kära och gärna skulle se, att de erhölle samma rätt till </w:t>
      </w:r>
      <w:r>
        <w:rPr>
          <w:b/>
        </w:rPr>
        <w:t>hennes²</w:t>
      </w:r>
      <w:r>
        <w:rPr>
          <w:b w:val="0"/>
        </w:rPr>
        <w:t xml:space="preserve"> kvarlåtenskap.</w:t>
        <w:br/>
        <w:br/>
        <w:t xml:space="preserve">Gent emot den andre ärade reservantens förslag, att samma arfsrält skulle inträda, därest modern bevisligen erkänt barnet såsom sitt, ber jag få upprepa hvad jag för tre år sedan här i kammaren anförde i samma fråga, nämligen att detta, äfven om det ju icke låter så farligt, dock verkligen är betänkligt. Principen är därmed absolut bruten. Får barnet anses hafva en naturlig rätt till arf och icke endast en rätt på grund af testamente eller därmed likartadt förklarande, och får barnet utan </w:t>
      </w:r>
      <w:r>
        <w:rPr>
          <w:b/>
        </w:rPr>
        <w:t>moderns²</w:t>
      </w:r>
      <w:r>
        <w:rPr>
          <w:b w:val="0"/>
        </w:rPr>
        <w:t xml:space="preserve"> uttryckliga begifvande begagna sig af denna rätt genom att bevisa sig vara barn till den och den modern, så vet jag icke, hvarför man skall stanna vid detta enda slag af bevis. Att modern erkänt barnet som sitt, är ett sätt att styrka förhållandet, men det kan äfven ske på flera andra sätt än detta. Och jag vet icke heller, hvarför man då skall vägra barnet rätt att få arf äfven efter fader. Skall barnet anses hafva en naturlig rätt till arf, synes det mig böra hafva lika naturlig rätt till arf efter fader som efter </w:t>
      </w:r>
      <w:r>
        <w:rPr>
          <w:b/>
        </w:rPr>
        <w:t>moder²</w:t>
      </w:r>
      <w:r>
        <w:rPr>
          <w:b w:val="0"/>
        </w:rPr>
        <w:t>, om barnet kan bevisa sig vara barn till en viss fader. Går man alltså in på principen, att barnet bör hafva naturlig rätt till arf, lärer man nog få taga konsekvenserna däraf, och det tviflar jag på, att denna kammare är beredd att göra.</w:t>
        <w:br/>
        <w:br/>
        <w:t>Jag upprepar ännu en gång, att jag hyser en varm medkänsla med de oäkta barnens svåra ställning, ehuru jag af principiella grunder icke anser mig kunna gå längre, än min reservation afser. Jag tillåter mig alltså att till densamma yrka bifall.</w:t>
      </w:r>
    </w:p>
    <w:p>
      <w:pPr>
        <w:pStyle w:val="Heading2"/>
      </w:pPr>
      <w:r>
        <w:t>2. Ivar Afzelius (Första kammarens minoritetsparti, man)</w:t>
      </w:r>
    </w:p>
    <w:p>
      <w:r>
        <w:rPr>
          <w:b w:val="0"/>
        </w:rPr>
        <w:t>Det är en mycket gammal fråga, vi nu stå inför, det är också en mycket grannlaga fråga. Det är icke en juridisk fråga, det är en social fråga; det är en fråga, som icke får behandlas lättvindigt, efter någon sentimental känslostämnming, men som icke heller får bedömmas med fördom eller formalism.</w:t>
        <w:br/>
        <w:br/>
        <w:t>Hvad gäller frågan? Den berör en stor klass af vårt folk. Komma herrarne i håg siffrorna? Utaf de barn, som årligen födas i Sverige, äro 15,000 oäkta, — en tiondedel af alla, som födas. Under de första åren är emellertid dödligheten ibland dessa barn oerhördt stor, så att proportionen bland den vuxna befolkningen icke är densamma, men i allt fall kunna vi nog säga, att det är bort emot 400,000 svenskar, som äro födda under detta bedröfliga tecken. Allt hvad man kan göra för de oäkta barnen har därför en vidtgående betydelse.</w:t>
        <w:br/>
        <w:br/>
        <w:t>Hvad kan man då göra? Här ifrågasättes nu, att man skulle göra någonting sådant som att gifva de oäkta barnen arfsrätt, visserligen icke samma arfsrätt som de äkta barnen, men dock någon rätt till arf. Kunna vi det, böra vi det, det är frågan.</w:t>
        <w:br/>
        <w:br/>
        <w:t>Ja visst, säger genast den, som ser saken ytligt. Det naturliga förhållandet mellan oäkta barn och deras föräldrar är ju precis det-</w:t>
        <w:br/>
        <w:br/>
        <w:t>samma som mellan äkta barn och deras föräldrar. Det är ju obestridligt. Men det är helt andra hänsyn, som här äro bestämmande än det naturliga sambandet.</w:t>
        <w:br/>
        <w:br/>
        <w:t>Hvilka hänsyn?</w:t>
        <w:br/>
        <w:br/>
        <w:t>Det var en tid, då man trodde, att det var hänsyn till sedligheten. Dessa barn äro frukten af en osedlig förbindelse. Staten måste reagera emot osedligheten, den kan icke gifva dessa barn samma rätt, som den gifver de äkta; det vore ju att uppmuntra osedligheten. Denna uppfattning har haft sin tid och spelat en mycket stor roll; det var en tid, då man rent af gjorde dessa oäkta barn till samhällets parias, beröfvade dem alla slags rättigheter och rättsmöjligheter. Den tiden är lyckligvis förbi. Man har lärt sig inse, att det dock icke kan vara rättvist att straffa barnen för föräldrarnes fel. Och hvad syftet med denna lagstiftnings politik beträffar, att hämma osedligheten, att stödja sedligheten, har den, som herrarne alla veta, visat sig fullkomligt maktlös. Detta betraktelsesätt vill jag för min del icke tillmäta något afseende.</w:t>
        <w:br/>
        <w:br/>
        <w:t>Men i viss mån besläktadt med detta betraktelsesätt är i själfva verket ett annat, som förtjänar så mycket mer afseende, det betraktelsesätt, för hvilket herr Hasselrot gjorde sig till tolk. Arfsrätten är en familjerätt. Familjen är arfsrättens grund. Familjen grundlägges endast genom en laglig förbindelse; alltså kan den oäkta icke vara medlem af familjen; det är därför också omöjligt, att den oäkte kan hafva någon arfsrätt.</w:t>
        <w:br/>
        <w:br/>
        <w:t>Det ligger delvis mycken sanning i detta. För min del erkänner jag, att staten icke kan erkänna, att en familj grundlägges annat än genom en sedlig förbindelse. Staten skulle svika sig själf, om den medgåfve ett afsteg från denna väg. Jag erkänner således, att de oäkta barnen icke kunna blifva likställda med de äkta, att de icke kunna erkännas som medlemmar af familjen. Så långt är jag med, af fullaste öfvertygelse. m</w:t>
        <w:br/>
        <w:br/>
        <w:t>Men är därmed bevisadt, hvad som skulle bevisas? Ar därmed bevisadt, att det icke finnes någon som helst möjlig grund för arfsrätt utom just detta familjeband?</w:t>
        <w:br/>
        <w:br/>
        <w:t>Om arfsrättens grund har man tvistat, kan man säga, sedan världens början. Därom tvistar man alltjämt, såsom herrarne veta; den ena konstruktionen aflöser den andra. Det kan ju icke vara min mening att draga denna tvist inför detta forum. För min del ber jag endast att, helt enkelt och i all blygsamhet, få säga, att jag visserligen erkänner familjebandet såsom giltig grund för arfsrätt, men att jag icke kan finna, att detta utesluter, att det kan finnas jämväl andra grunder för arfsrätt; och för min del anser jag den naturliga härstamningen också, under vissa förhållanden, under vissa förutsättningar och med viss inskränkning, kunna utgöra en giltig grund för arfsrätt. Lifvet är nu en gång ej sådant, att man kan konstruera det efter linjal. Det är mera kompliceradt än så. Där finnas be-</w:t>
        <w:br/>
        <w:br/>
        <w:t>rättigade intressen, som gå parallellt med hvarandra eller korsa hvarandra, och man får icke taga ett af dessa intressen under armarne så, att man kväfver alla andra. — Så äfven här.</w:t>
        <w:br/>
        <w:br/>
        <w:t>Bevisa hvad ni nu sagt, säger någon, bevisa, att bredvid familjen det naturliga sambandet kan vara giltig grund för arfsrätt! Mina herrar, jag tror icke, att det lönar sig att här ingå på en sådan deduktion. Men jag skall göra något annat. Jag skall hänvisa därtill, att inom nästan hela den civiliserade världen finnes arfsrätt för oäkta barn i viss utsträckning erkänd. Den är ingalunda densamma som för de äkta barnen. Men en verklig arfsrätt för de oäkta barnen är erkänd i hela den civiliserade världen — jag tror icke, att jag därvid behöfver göra undantag för flera länder än för England och Sverige.</w:t>
        <w:br/>
        <w:br/>
        <w:t xml:space="preserve">Jag skall icke trötta herrarne med något uppräknande. Jag vill endast nämna några länder. I våra grannländer Norge och Danmark är sedan lång tid tillbaka — hvad beträffar Danmark kan jag för ögonblicket ej uppgifva årtalet, men i Norge sedan temtio år — just den arfsrätt genomförd, som utskottet här proponerat, nämligen arfsrätt efter </w:t>
      </w:r>
      <w:r>
        <w:rPr>
          <w:b/>
        </w:rPr>
        <w:t>moder²</w:t>
      </w:r>
      <w:r>
        <w:rPr>
          <w:b w:val="0"/>
        </w:rPr>
        <w:t xml:space="preserve"> och mödernefränder. Finland, vårt gamla land, som ännu har samma 1734 års lag som vi, stod på dennas ståndpunkt ända till är 1878. Då skedde emellertid en förändring så, att oäkta barn fingo arfsrätt utan sådana förutsättningar, som vi för närvarande hafva — d. v. s. utan anteckning i kyrkboken — eller dylika villkor, De fingo arfsrätt efter </w:t>
      </w:r>
      <w:r>
        <w:rPr>
          <w:b/>
        </w:rPr>
        <w:t>moder²</w:t>
      </w:r>
      <w:r>
        <w:rPr>
          <w:b w:val="0"/>
        </w:rPr>
        <w:t xml:space="preserve">, men icke efter mödernefränder, och arfsrätten inskränktes till hvad som icke utgör bröstarfvinges laglott. Således dock ett steg utöfver hvad vi nu hafva. Men år 1900 ingick landtdagen — såvidt jag kunnat finna, utan någon meningsskiljaktighet — till kejsaren med begäran om en lagförändring, som, bland annat, skulle utsträcka denna arfsrätt till arf efter mödernefränder. Jag kanske kan få nämna, att denna framställning utgick från prästeståndet. Den gillades, som sagdt, af hela landtdagen. Ytterligare vill jag blott nämna, att det största lagverk, som någon tid åstadkommit, det förnämsta både med afseende å det arbete, som därå nedlagts, och den ställning, det intager såsom medelpunkt i nutida rättsbildning — den nya tyska civillagen — har också accepterat denna arfsrätt, som lagutskottet föreslagit. Arfsrätt för oäkta barn fanns redan förut i Tyskland, men, som sagdt, den nya civillagen upptog arfsrätten alldeles så, som lagutskottet nu föreslagit — d. v. s. arfsrätt efter </w:t>
      </w:r>
      <w:r>
        <w:rPr>
          <w:b/>
        </w:rPr>
        <w:t>moder²</w:t>
      </w:r>
      <w:r>
        <w:rPr>
          <w:b w:val="0"/>
        </w:rPr>
        <w:t xml:space="preserve"> och mödernefränder. Det heter där: »Das uneheliche Kind hat im Verhältnisse zu der Mutter die rechtliche Stellung eines ehelichen Kindes.»</w:t>
        <w:br/>
        <w:br/>
        <w:t>Detta om detta. Med hvad jag sålunda yttrat har jag velat anföra ett sannolikhetsbevis för den uppfattning, jag uttryckte, eller att man kan och bör medgifva oäkta barn verklig arfsrätt. Det är en consensus gentium, jag anfört såsom bevis.</w:t>
        <w:br/>
        <w:br/>
        <w:t>Ja, säger då herr Hasselrot: ni kan måhända ha rätt i er uppfattning. Ni må tänka hvad ni vill, andra folk må tänka hvad de</w:t>
        <w:br/>
        <w:br/>
        <w:t>vilja, stifta hvilka lagar de vilja; stämmer det ej med svensk rättsuppfattning, skall och bör det ej heller komma in i svensk lag. Jag är fullkomligt ense med honom i detta. Om jag också hade makt därtill, ville jag ej stifta en lag — minst af allt på ett område som detta — om den ej bures upp af svensk sed och uppfattning. Detta är också för mig en nödvändig förutsättning. Grundsatsen må, från allmänt rättslig, djupare ståndpunkt sedt, vara hur riktig som helst, bäres den ej upp af svensk rättsuppfattning, bör den ej blifva svensk lag.</w:t>
        <w:br/>
        <w:br/>
        <w:t>Frågan blir alltså denna: hvad är svensk rättsuppfattning i denna fråga?</w:t>
        <w:br/>
        <w:br/>
        <w:t>Jo, säger herr Hasselrot, det är, att arfsrätten är en familjerätt, familjen finnes icke utan äktenskap, alltså är det icke berättigadt, att oäkta barn få ärfva. Hvad skola de då få? Enligt 1734 års lag få de nödhjälp af föräldrar eller fattigvården. Vilja föräldrar gifva dem något efter sig, så må de göra det genom testamente. 1866 års förordning medger en särskild form af testamente vid sidan af Jagen. Modern låter i kyrkoboken anteckna barnet såsom sitt och gör på så sätt ett slags testamente. Sådan är svensk rättsuppfattning.</w:t>
        <w:br/>
        <w:br/>
        <w:t>Jag ber då herrarne tillåta mig att närmare undersöka, huru härmed förhåller sig.</w:t>
        <w:br/>
        <w:br/>
        <w:t xml:space="preserve">1734 års lag är nog så till vida klar, att den såsom regel stadgar: äkta barn äro de enda, som hafva arfsrätt. — Men hvad gör lagen därjämte? Den säger för det första, att en del förhållanden, som i själfva verket alls icke äro sedliga förhållanden, icke äro äktenskap, dock skola betraktas och rättsligen behandlas såsom äktenskap. Jag syftar på dessa för herrarne bekanta så kallade »ofullkomnade äktenskap», som utgöra en singularitet för svensk rätt, som icke annorstädes hafva någon motsvarighet. Det är lägersmål med </w:t>
      </w:r>
      <w:r>
        <w:rPr>
          <w:b/>
        </w:rPr>
        <w:t>fästekvinna³</w:t>
      </w:r>
      <w:r>
        <w:rPr>
          <w:b w:val="0"/>
        </w:rPr>
        <w:t xml:space="preserve">, häfdande under äktenskapslöfte, kyrkotagning såsom </w:t>
      </w:r>
      <w:r>
        <w:rPr>
          <w:b/>
        </w:rPr>
        <w:t>fästekvinna³</w:t>
      </w:r>
      <w:r>
        <w:rPr>
          <w:b w:val="0"/>
        </w:rPr>
        <w:t xml:space="preserve"> efter barnsbörden m. m. Detta är allt äktenskap! Ja, sedan man gjort detta till äktenskap, är det ju lätt att få barnen till äkta arfsberättigade barn. Men ytterligare gör lagen undantag, såsom herrarne erinra sig, i 8 kap. ärfdabalken: »aflar man barn i lönskaläge och tager sedan </w:t>
      </w:r>
      <w:r>
        <w:rPr>
          <w:b/>
        </w:rPr>
        <w:t>kvinnan¹</w:t>
      </w:r>
      <w:r>
        <w:rPr>
          <w:b w:val="0"/>
        </w:rPr>
        <w:t xml:space="preserve"> till äkta, eller </w:t>
      </w:r>
      <w:r>
        <w:rPr>
          <w:b/>
        </w:rPr>
        <w:t>henne²</w:t>
      </w:r>
      <w:r>
        <w:rPr>
          <w:b w:val="0"/>
        </w:rPr>
        <w:t xml:space="preserve"> äktenskap tillsäger, men endera dör, förr än vigsel åkommer; då tage barnet arf som barn af laggift säng.» Och likaså erinra sig herrarne nog, att barn efter våldtäkt hafva äkta barns rätt. Icke står detta i samklang med den principiella ståndpunkt, från hvilken lagen utgår.</w:t>
        <w:br/>
        <w:br/>
        <w:t xml:space="preserve">Hvad visar nu detta? Det visar, att lagen själf aldrig trott på sin egen regel: att arfsrätt finns blott för äkta barn — att den aldrig trott sig om att upprätthålla denna regel. Den var medveten om att regeln icke var riktig, den gjorde modifikationer. Men såsom regel fick den gälla. Och sedan regeln i detta skick var gifven, kunde lagen säga om de oäkta barnen, att de hafva ej annat att få af fader och </w:t>
      </w:r>
      <w:r>
        <w:rPr>
          <w:b/>
        </w:rPr>
        <w:t>moder²</w:t>
      </w:r>
      <w:r>
        <w:rPr>
          <w:b w:val="0"/>
        </w:rPr>
        <w:t xml:space="preserve"> än »nödtorftig föda och uppfostran, till dess de sig själfva</w:t>
        <w:br/>
        <w:br/>
        <w:t>nära kunna». Slutligen vänder man upp och ned på all konsekvens och rättvisa, så vidt jag kan förstå, då det säges: »dör det barn, som i lönskaläge födt är och lämnar arf efter sig, gånge därmed som om annat arf». D.v.s. föräldrarne, som barnen själfva icke kunna ärfva, de taga arf efter barnen; släktingar uppåt å fäderneoch mödernesidan de taga arf efter barnet, fastän barnet icke äger rätt att ärfva dem. Det kanske förtjänar nämnas, att denna sats väckte motstånd redan, när lagen föredrogs vid 1731 års riksdag. Det gjordes då den anmärkningen: »emedan föräldrarne äro de, som synda, och i följd däraf förverka sin rätt till arf, men ej det oskyldiga barnet, så tyckas föräldrarne så mycket mindre böra ärfva sådana barn, som barnen efter denna lagen intet få ärfva föräldrarne». Anmärkningen afvisades, anomalien fick stå kvar och kvarstår ännu i dag efter 170 år. I Finland är den borta.</w:t>
        <w:br/>
        <w:br/>
        <w:t>Jag beundrar för min del 1734 års lag, men jag måste säga: detta stycke af 1734 års lag är måhända det, som minst afpräglar en klar och konsekvent rättsåskådning.</w:t>
        <w:br/>
        <w:br/>
        <w:t>En sådan rättsåskådning är icke hållbar, ett sundt rättstillstånd kan ej byggas på en så ihålig och själfmotsägande grund. Erfarenheten har ådagalagt det.</w:t>
        <w:br/>
        <w:br/>
        <w:t xml:space="preserve">Anloppen började strax efter 1809. Under de gamla stäåndsriksdagarnes tid, mellan 1815 och 1865, kunna vi räkna elfva motioner i syfte att bereda oäkta barn arfsrätt; två gånger enade sig också Riksens ständer om att begära sådan arfsrätt, båda gångerna bestämd till arfsrätt efter </w:t>
      </w:r>
      <w:r>
        <w:rPr>
          <w:b/>
        </w:rPr>
        <w:t>moder²</w:t>
      </w:r>
      <w:r>
        <w:rPr>
          <w:b w:val="0"/>
        </w:rPr>
        <w:t xml:space="preserve">, men med den inskränkning, att arfsrätten ej skulle ingå på de äkta barnens laglott. Den ena gången, år 1854 — det är således 50 år sedan — tillstyrktes detta förslag enhälligt af högsta domstolen, men Kungl. Maj:t vägrade sanktion. Kungl. Maj:t upprätthöll den gamla ståndpunkten: ingen arfsrätt, endast testamentsrätt. Andra gången gjordes anmärkningar mot förslaget i högsta domstolen, ehuru visserligen ej af alla ledamöterna, men af några. Kungl. Maj:t ställde sig åter på samma ståndpunkt, den ståndpunkt, som herr Hasselrot intar: ingen arfsrätt, men testamentsrätt. Så fingo vi 1866 års förordning, som ännu gäller. Genom denna bereddes modern tillfälle att göra ett slags testamente genom att låta anteckna barnet i kyrkoboken. I sådant fall får barnet del i </w:t>
      </w:r>
      <w:r>
        <w:rPr>
          <w:b/>
        </w:rPr>
        <w:t>hennes²</w:t>
      </w:r>
      <w:r>
        <w:rPr>
          <w:b w:val="0"/>
        </w:rPr>
        <w:t xml:space="preserve"> kvarlåtenskap, till den del nämligen, som ej utgör bröstarfvinges laglott.</w:t>
        <w:br/>
        <w:br/>
        <w:t xml:space="preserve">Är detta arfsrätt? Nej, säger herr Hasselrot, och därvidlag är jag fullt ense med honom. Är detta testamente? Ja, säger herr Hasselrot, det är ett kvasitestamente. Nej, säger jag: det är icke ett testamente. Det är en fiktion. </w:t>
      </w:r>
      <w:r>
        <w:rPr>
          <w:b/>
        </w:rPr>
        <w:t>Kvinnan¹</w:t>
      </w:r>
      <w:r>
        <w:rPr>
          <w:b w:val="0"/>
        </w:rPr>
        <w:t xml:space="preserve"> tänker i det ögonblicket sällan på att förordna om sin kvarlåtenskap, </w:t>
      </w:r>
      <w:r>
        <w:rPr>
          <w:b/>
        </w:rPr>
        <w:t>hon²</w:t>
      </w:r>
      <w:r>
        <w:rPr>
          <w:b w:val="0"/>
        </w:rPr>
        <w:t xml:space="preserve"> har icke alls den »animus testandi», som ju främst kräfves för ett testamente. När man behandlar det som ett testamente, är det en fiktion, ingenting annat.</w:t>
        <w:br/>
        <w:br/>
        <w:t>Men att man drifvits till denna fiktion, har sin stora betydelse. Fiktionen är det sätt, hvarpå lagstiftaren lugnar sitt formella samvete.</w:t>
        <w:br/>
        <w:br/>
        <w:t>Inför lifvets kraf finner han, att en invand rättsregel icke längre kan upprätthållas. Men att uppgifva den, ändra den — nej, därtill kan han icke besluta sig. Men man kan ju icke lämna saken alldeles å sido; man måste göra något! Hvad gör man då? Jo, man antager, att ett förhållande är något annat, än hvad det är -— och så kan det inpassas under gamla regler, så äfven här. »Låtom oss antaga, att denna anteckning i kyrkboken är ett testamente» som man tänkt, så slippa vi ifrån den omöjliga arfsrätten, och barnen få dock något! Fiktionen var romarnes styrka. Man kan säga, att rättsutvecklingen där framgick genom fiktionen; man fingerade, att något var någonting annat, än det verkligen var; så passade den gamla regeln, lifvet fick sitt, men den gamla regeln var bevarad! Och äfven vi kunna den konsten.</w:t>
        <w:br/>
        <w:br/>
        <w:t xml:space="preserve">Fiktionen är såsom sådan värdelös. Men den har dock sin stora betydelse: den utvisar, i hvilken riktning utvecklingen går fram. Denna fiktion innefattar i själfva verket ett erkännande — ett indirekt, motvilligt erkännande — att det dock är önskligt och rätt, att oäkta barn få ärfva sin </w:t>
      </w:r>
      <w:r>
        <w:rPr>
          <w:b/>
        </w:rPr>
        <w:t>moder²</w:t>
      </w:r>
      <w:r>
        <w:rPr>
          <w:b w:val="0"/>
        </w:rPr>
        <w:t xml:space="preserve">. Mer vill man ej erkänna, och mer behöfs ej heller för att beteckna hvar utvecklingens väg går. För min del anser jag det klara, odisputabla resultatet af rättsutvecklingen till närvarande stund vara: oäkta barn böra ha arfsrätt efter </w:t>
      </w:r>
      <w:r>
        <w:rPr>
          <w:b/>
        </w:rPr>
        <w:t>moder²</w:t>
      </w:r>
      <w:r>
        <w:rPr>
          <w:b w:val="0"/>
        </w:rPr>
        <w:t xml:space="preserve">. Och — såsom herr Hasselrot riktigt sade — erkänna vi arfsrätt, så skall den naturligtvis också vara oberoende af hvarje slags viljeakt från </w:t>
      </w:r>
      <w:r>
        <w:rPr>
          <w:b/>
        </w:rPr>
        <w:t>moderns²</w:t>
      </w:r>
      <w:r>
        <w:rPr>
          <w:b w:val="0"/>
        </w:rPr>
        <w:t xml:space="preserve"> sida.</w:t>
        <w:br/>
        <w:br/>
        <w:t xml:space="preserve">Den nuvarande ståndpunkten — den, som herr Hasselrot vill bevara — fordran att modern skall låta anteckna barnet i kyrkboken — har. icke endast det felet, att den hvilar på en fiktion och sålunda lefver på en osanning. Det är oskyldigt nog, men denna anordning gör icke heller praktiskt den tjänst, som man borde fordra af den. Det händer, att </w:t>
      </w:r>
      <w:r>
        <w:rPr>
          <w:b/>
        </w:rPr>
        <w:t>kvinnan¹</w:t>
      </w:r>
      <w:r>
        <w:rPr>
          <w:b w:val="0"/>
        </w:rPr>
        <w:t xml:space="preserve"> aldrig är i tillfälle att låta göra denna anteckning, huru gärna </w:t>
      </w:r>
      <w:r>
        <w:rPr>
          <w:b/>
        </w:rPr>
        <w:t>hon²</w:t>
      </w:r>
      <w:r>
        <w:rPr>
          <w:b w:val="0"/>
        </w:rPr>
        <w:t xml:space="preserve"> än ville bereda sitt barn denna arfsrätt. Det kan också hända, att anteckningen ej göres så, som den bör göras; trots herr Hasselrots försäkran, att efter 1885 års cirkulär allt är som det borde vara, tror jag motsatsen, Man kan icke begära af prästerskapet, att det skall hafva sinne för att precisera denna anteckning så, att, när det en gång gäller, den håller måttet. Jag har sett fall, då den icke hållit. Slutligen, och efter min mening det värsta af allt: om jag erkänner det berättigade i att barnet ärfver modern, så är det naturligtvis alldeles orimligt att på samma gång fordra en viljeyttring af </w:t>
      </w:r>
      <w:r>
        <w:rPr>
          <w:b/>
        </w:rPr>
        <w:t>kvinnan¹</w:t>
      </w:r>
      <w:r>
        <w:rPr>
          <w:b w:val="0"/>
        </w:rPr>
        <w:t xml:space="preserve"> och sålunda hjälpa den onaturliga modern — </w:t>
      </w:r>
      <w:r>
        <w:rPr>
          <w:b/>
        </w:rPr>
        <w:t>henne²</w:t>
      </w:r>
      <w:r>
        <w:rPr>
          <w:b w:val="0"/>
        </w:rPr>
        <w:t xml:space="preserve">, som ej vill göra hvad </w:t>
      </w:r>
      <w:r>
        <w:rPr>
          <w:b/>
        </w:rPr>
        <w:t>hon²</w:t>
      </w:r>
      <w:r>
        <w:rPr>
          <w:b w:val="0"/>
        </w:rPr>
        <w:t xml:space="preserve"> borde och skulle göra.</w:t>
        <w:br/>
        <w:br/>
        <w:t xml:space="preserve">Fiktionen har gjort sin tjänst: att förbereda rättsutvecklingen. Lätom oss därför nu kasta bort den, låtom oss kasta bort kryckan och stå för oss själfva; låtom oss bekänna sanningen. Och sanningen är denna: rätt till arf finnes äfven för oäkta barn — hvilken och huru stor, därom kan man tvista — men verklig rätt till arf, oberoende af </w:t>
      </w:r>
      <w:r>
        <w:rPr>
          <w:b/>
        </w:rPr>
        <w:t>kvinnans¹</w:t>
      </w:r>
      <w:r>
        <w:rPr>
          <w:b w:val="0"/>
        </w:rPr>
        <w:t xml:space="preserve"> åtgärd, vare sig att </w:t>
      </w:r>
      <w:r>
        <w:rPr>
          <w:b/>
        </w:rPr>
        <w:t>hon²</w:t>
      </w:r>
      <w:r>
        <w:rPr>
          <w:b w:val="0"/>
        </w:rPr>
        <w:t xml:space="preserve"> låter göra anteckning i</w:t>
        <w:br/>
        <w:br/>
        <w:t xml:space="preserve">kyrkoboken eller att </w:t>
      </w:r>
      <w:r>
        <w:rPr>
          <w:b/>
        </w:rPr>
        <w:t>hon²</w:t>
      </w:r>
      <w:r>
        <w:rPr>
          <w:b w:val="0"/>
        </w:rPr>
        <w:t>, såsom herr Andersson vill hafva det, »erkänner» barnet.</w:t>
        <w:br/>
        <w:br/>
        <w:t xml:space="preserve">Nu säger man: — och det gör nog intryck på många — det där är farligt; det är farligt att gifva arfsrätt efter modern, det öppnar dörren för skandalen, för utpressningar och vexationer mot oskyldiga. Jag tror icke, att det är så farligt med den saken. Denna lagstiftningsakt skall ej gå till så, att man utan vidare sätter in denna slutsats i lagen, utan den skall fullständigas med andra föreskrifter. Det är klart, att om man erkänner denna arfsrätt efter </w:t>
      </w:r>
      <w:r>
        <w:rPr>
          <w:b/>
        </w:rPr>
        <w:t>moder²</w:t>
      </w:r>
      <w:r>
        <w:rPr>
          <w:b w:val="0"/>
        </w:rPr>
        <w:t>, kan man ej lämna orubbadt 1778 års bref och tillåta modern att alldeles förhemliga sitt moderskap; det bör konstateras på något sätt, så att man framdeles kan hafva en handling att tillgå. Det bör konstateras på sådant sätt, att det visserligen icke skrikes ut på torg och gator, att det blir kunnigt för obehöriga, men dock så, att det verkligen blir tillförlitligare konstateradt. Detta är det ena. Därigenom kan man inskränka de sätt, hvarpå härstamningen får bevisas. Vidare kan man bestämma en preskriptionstid för arfstalan och således begränsa den till en viss kort tid. Begge dessa saker förutsätter jag för min del, då jag ansluter mig till denna åskådning; det antydes också i lagutskottets utlåtande.</w:t>
        <w:br/>
        <w:br/>
        <w:t xml:space="preserve">Lagutskottet går nu ett steg längre. Det ger arfsrätt efter </w:t>
      </w:r>
      <w:r>
        <w:rPr>
          <w:b/>
        </w:rPr>
        <w:t>moder²</w:t>
      </w:r>
      <w:r>
        <w:rPr>
          <w:b w:val="0"/>
        </w:rPr>
        <w:t xml:space="preserve"> och mödernefränder. Jag får för min del säga, att jag skulle kunnat stanna vid att gifva arfsrätt efter </w:t>
      </w:r>
      <w:r>
        <w:rPr>
          <w:b/>
        </w:rPr>
        <w:t>moder²</w:t>
      </w:r>
      <w:r>
        <w:rPr>
          <w:b w:val="0"/>
        </w:rPr>
        <w:t xml:space="preserve">. Det är alltid ett steg i rätta riktningen, ett uttryckligt erkännande af den rätta grundsatsen, hvilket för mig är hufvudsaken. Men jag medger, att det är en principiell konsekvens i detta: att, när modern är arflåtare, </w:t>
      </w:r>
      <w:r>
        <w:rPr>
          <w:b/>
        </w:rPr>
        <w:t>hon²</w:t>
      </w:r>
      <w:r>
        <w:rPr>
          <w:b w:val="0"/>
        </w:rPr>
        <w:t xml:space="preserve"> också är arfledare. Jag erkänner vidare, att vi genom att taga mödernefränderna med komma på samma plan som våra grannländer, Norge, Danmark och Tyskland. Naturligtvis får också därigenom rätten större praktisk betydelse, större värde för de oäkta barnen. Hvad som för mig varit afgörande, så att jag äfven i detta ansluter mig till lagutskottet, det är, att därigenom beredes arfsrätt åt det oäkta barnets syskon. Det mest upprörande i det nuvarande tillståndet är kanske, att, då af oäkta syskon, som lefvat tillsammans och arbetat och sträfvat ihop något, det ena går bort, arfvet skall gå till släktingar i uppstigande led, hvilka den döde aldrig skulle kunnat få ärfva. Dessa syskon hade ej tänkt sig annat, än att det ena syskonet skulle ärfva det andra. Ja säger man då: de kunna ju hafva gjort testamente. Ja, man kan göra testamente, men, såsom vi veta, det händer, att det icke blir af. Och i fall som dessa är det förlåtligt.</w:t>
        <w:br/>
        <w:br/>
        <w:t>Således: jag ansluter mig helt till lagutskottets ståndpunkt. Men nu kommer herr Hasselrot och säger, såsom nyss, tag då konsekvenserna; du är inne på det sluttande planet, du måste då gifva arfsrätt äfven efter fadern; och hvart tager det vägen?</w:t>
        <w:br/>
        <w:br/>
        <w:t>Ja, hvart tager det vägen? Det är icke alls någon konsekvens. För det första frågar jag: är ej förhållandet mellan det oäkta barnet</w:t>
        <w:br/>
        <w:br/>
        <w:t xml:space="preserve">och dess </w:t>
      </w:r>
      <w:r>
        <w:rPr>
          <w:b/>
        </w:rPr>
        <w:t>moder²</w:t>
      </w:r>
      <w:r>
        <w:rPr>
          <w:b w:val="0"/>
        </w:rPr>
        <w:t xml:space="preserve"> något helt annat och innerligare än mellan barnet och dess fader? Ar det ej fysiologiskt — kan jag säga — på det sättet, och är det icke också så i lifvet? Ar det ej i regeln modern, som får sörja för och lefva med barnet? Helt annat är förhållandet till fadern. Det är principiellt fullkomligt berättigadt att säga: arf efter </w:t>
      </w:r>
      <w:r>
        <w:rPr>
          <w:b/>
        </w:rPr>
        <w:t>moder²</w:t>
      </w:r>
      <w:r>
        <w:rPr>
          <w:b w:val="0"/>
        </w:rPr>
        <w:t xml:space="preserve">, men ej efter fader. Men för öfrigt! Här kan man tala om praktiska olägenheter, praktiska hinder. Afven jag har sinne för dem; där de verkligen finnas. Hvem som är </w:t>
      </w:r>
      <w:r>
        <w:rPr>
          <w:b/>
        </w:rPr>
        <w:t>moder²</w:t>
      </w:r>
      <w:r>
        <w:rPr>
          <w:b w:val="0"/>
        </w:rPr>
        <w:t>, det kan fysiologiskt konstateras, men hvem som är fader, det kan — det veta vi alla — vara ganska dubiöst. Där komma vi lätt in på en bevisning, som tangerar chikanen, där kan man befara vexationer och utpressningsförsök. Det kan icke tillstädjas. Jag afvisar bestämdt den konsekvensen.</w:t>
        <w:br/>
        <w:br/>
        <w:t>Jag skulle måhända hafva mer att säga i denna fråga, men jag har tagit herrarne tillräckligt länge i anspråk. Jag började med att säga, att frågan ej får bedömas efter känslostämning, och jag hoppas också, att jag hållit mig därifrån fri. Men det finns en känsla, för hvilken lagstiftaren aldrig får vara främmande. Det är känslan af den naturliga rättvisan. Det är till den känslan, jag vädjar, då jag ber herrarne godkänna lagutskottets hemställan.</w:t>
      </w:r>
    </w:p>
    <w:p>
      <w:pPr>
        <w:pStyle w:val="Heading2"/>
      </w:pPr>
      <w:r>
        <w:t>3. Fredrik von Rosen (Första kammarens moderata parti, man)</w:t>
      </w:r>
    </w:p>
    <w:p>
      <w:r>
        <w:rPr>
          <w:b w:val="0"/>
        </w:rPr>
        <w:t>Efter herr Afzelii öfvertygande och vältaliga anförande har jag ingenting annat att tillägga, än att jag ber att få fästa uppmärksamheten därpå, att Andra Kammaren redan antagit lagutskottets förslag oförändradt, och att ifall Första Kammarens beslut utfaller något olika mot Andra Kammarens, torde frågan komma att falla. Jag får därför instämma i det framställda yrkandet på bifall till lagutskottets hemställan.</w:t>
      </w:r>
    </w:p>
    <w:p>
      <w:pPr>
        <w:pStyle w:val="Heading2"/>
      </w:pPr>
      <w:r>
        <w:t>4. unknown (–, –)</w:t>
      </w:r>
    </w:p>
    <w:p>
      <w:r>
        <w:rPr>
          <w:b w:val="0"/>
        </w:rPr>
        <w:t xml:space="preserve">Afven jag anser, att något bör göras i denna fråga, men jag vill ej gå så långt, som lagutskottet gjort. Därför har jag i min reservation upptagit det förslag, lagutskottet vid 1894 års riksdag framlade och som senast år 1900 antogs af denna kammare. Sedan dess tror jag icke, att något inträffat, som skulle göra, att Första Kammaren skulle ändra sin ståndpunkt i frågan, utan att Första Kammaren vill kvarstå vid sitt då fattade beslut. Lagutskottets ärade ordförande har i sin reservation framhållit, att ett oäkta barn skulle vara af modern antecknadt i kyrkboken såsom </w:t>
      </w:r>
      <w:r>
        <w:rPr>
          <w:b/>
        </w:rPr>
        <w:t>hennes²</w:t>
      </w:r>
      <w:r>
        <w:rPr>
          <w:b w:val="0"/>
        </w:rPr>
        <w:t xml:space="preserve"> barn för att få arfsrätt efter modern lika med äkta barn. I vissa fall kan ju en sådan bestämmelse ej behöfva vara till hinders, men det förekommer fall, då det är omöjligt för modern att låta anteckna barnet i kyrkboken, och då skulle ju barnet gå miste om rätten till arf efter sin </w:t>
      </w:r>
      <w:r>
        <w:rPr>
          <w:b/>
        </w:rPr>
        <w:t>moder²</w:t>
      </w:r>
      <w:r>
        <w:rPr>
          <w:b w:val="0"/>
        </w:rPr>
        <w:t xml:space="preserve">. Det kan ju hända, att modern dör vid barnets födelse, och då är det ju omöjligt för </w:t>
      </w:r>
      <w:r>
        <w:rPr>
          <w:b/>
        </w:rPr>
        <w:t>henne²</w:t>
      </w:r>
      <w:r>
        <w:rPr>
          <w:b w:val="0"/>
        </w:rPr>
        <w:t xml:space="preserve"> att uppfylla nämnda villkor för dess arfsrätt. En föregående talare har medgifvit, att oäkta barn icke kan blifva medlem af familjen. Utgår man</w:t>
        <w:br/>
        <w:br/>
        <w:t xml:space="preserve">därifrån, förefaller det mig besynnerligt, att oäkta barn skall få arfsrätt efter mödernefränder. Om modern är död, skulle </w:t>
      </w:r>
      <w:r>
        <w:rPr>
          <w:b/>
        </w:rPr>
        <w:t>hennes²</w:t>
      </w:r>
      <w:r>
        <w:rPr>
          <w:b w:val="0"/>
        </w:rPr>
        <w:t xml:space="preserve"> oäkta barn då få taga arf efter </w:t>
      </w:r>
      <w:r>
        <w:rPr>
          <w:b/>
        </w:rPr>
        <w:t>hennes²</w:t>
      </w:r>
      <w:r>
        <w:rPr>
          <w:b w:val="0"/>
        </w:rPr>
        <w:t xml:space="preserve"> föräldrar. Det kunde hända, att dessa ej sett barnet, åtminstone ej betraktat det som medlem af familjen, ej hyst någon känsla för det, men ändå får det taga arf efter dem. Jag tycker, att detta vore i högsta grad orätt och skulle störa familjeförhållandena. För min del önskar jag blott, att något må göras; och hvarför jag afgifvit min reservation, är därför, att den sammanfaller med Första Kammarens beslut förra gången, och jag har förhoppning, att den äfven skall blifva kammarens beslut i dag.</w:t>
        <w:br/>
        <w:br/>
        <w:t>På dessa grunder yrkar jag bifall till min reservation och afslag å utskottets hemställan.</w:t>
      </w:r>
    </w:p>
    <w:p>
      <w:pPr>
        <w:pStyle w:val="Heading2"/>
      </w:pPr>
      <w:r>
        <w:t>5. Carl Birger Hasselrot (–, man)</w:t>
      </w:r>
    </w:p>
    <w:p>
      <w:r>
        <w:rPr>
          <w:b w:val="0"/>
        </w:rPr>
        <w:t xml:space="preserve">Jag skall icke försöka bemöta det mycket briljanta och öfvertygande anförande, som nyss hölls af talaren på stockholmsbänken. Han och jag utgå från två alldeles skilda principer, och vi komma därför naturligtvis till olika resultat. Gent emot hvad han sade, att han ej vädjade till känslan, tillåter jag mig dock förklara, att man därom kan hafva olika uppfattning. Hela tiden hade jag känning af, att det egentligen var hjärtat hos oss, han ville åt. Nu finnes emellertid en inkonsekvens i förslaget, som hvarken af mig i mitt förra anförande eller af talaren å stockholmsbänken berördes. Hafva verkligen de oäkta barnen en naturlig rätt till arf efter </w:t>
      </w:r>
      <w:r>
        <w:rPr>
          <w:b/>
        </w:rPr>
        <w:t>moder²</w:t>
      </w:r>
      <w:r>
        <w:rPr>
          <w:b w:val="0"/>
        </w:rPr>
        <w:t xml:space="preserve"> och mödernefränder, fattar jag ej, hvarför undantag skall göras för sådant barn, som är afladt under </w:t>
      </w:r>
      <w:r>
        <w:rPr>
          <w:b/>
        </w:rPr>
        <w:t>moderns²</w:t>
      </w:r>
      <w:r>
        <w:rPr>
          <w:b w:val="0"/>
        </w:rPr>
        <w:t xml:space="preserve"> äktenskap eller i förbudna led. Dessa barn äro väl lika oskyldiga som de andra, och jag har svårt att förstå, hvarför den omständigheten, att föräldrarne begått en förseelse, skall föranleda undantag i fråga om barnens rätt. Utgår man från, att barnen hafva en naturlig rätt, bör man taga konsekvenserna i ena som andra afseendet.</w:t>
        <w:br/>
        <w:br/>
        <w:t>Gent emot talaren på södermanlandsbänken, som menade, att frågan skulle falla, om denna kammare fattade ett annat beslut än Andra Kammaren, får jag nämna, att detta alls icke är gifvet. Kamrarne fattade olika beslut i denna fråga år 1900, men det försöktes då en sammanjämkning, ehuru ej så långt gående som utskottets förslag. Om därför kammaren fattar sitt beslut i enlighet med min reservation, kan sammanjämkning äga rum, och frågan behöfver ej vara fallen. Naturligtvis blefve dock sammanjämkningsförslaget mindre radikalt, än det talaren på stockholmsbänken nu förfäktat.</w:t>
      </w:r>
    </w:p>
    <w:p>
      <w:pPr>
        <w:pStyle w:val="Heading2"/>
      </w:pPr>
      <w:r>
        <w:t>6. Ivar Afzelius (Första kammarens minoritetsparti, man)</w:t>
      </w:r>
    </w:p>
    <w:p>
      <w:r>
        <w:rPr>
          <w:b w:val="0"/>
        </w:rPr>
        <w:t>Jag vill endast helt kort svara herr Hasselrot, som förebrådde mig en inkonsekvens. Den förebråelsen träffar mig icke. Jag uttalade ju, att i en sådan fråga som denna vill jag icke — äfven om jag kunde — påtvinga svenska folket den uppfattning, som jag för min personliga del kan hysa. Det är icke efter en princip, genomförd i sina konsekvenser, man i dessa fall skall lagstifta.</w:t>
        <w:br/>
        <w:br/>
        <w:t>Så länge som jag tror, att det är stötande för svensk sed, svensk uppfattning att icke göra undantag för dessa dubbelt olyckliga barn, som han nämnde, så anser jag mig icke kunna stryka detta undantag. Härpå beror det och icke på någonting annat. Men det är ett tillräckligt skäl.</w:t>
      </w:r>
    </w:p>
    <w:p>
      <w:pPr>
        <w:pStyle w:val="Heading2"/>
      </w:pPr>
      <w:r>
        <w:t>7. Philip Leman (Första kammarens minoritetsparti, man)</w:t>
      </w:r>
    </w:p>
    <w:p>
      <w:r>
        <w:rPr>
          <w:b w:val="0"/>
        </w:rPr>
        <w:t>ZLagutskottets utlåtande har för en stund sedan på denna plats fått ett så utmärkt försvar, att det icke torde behöfvas något vidare från lagutskottets sida. Då jag icke desto mindre begärt ordet, är det därför, att jag skulle vilja påpeka, huru det går till i praktiken. Jag skall icke betunga kammaren med många exempel, utan vill endast relatera ett enda fall.</w:t>
        <w:br/>
        <w:br/>
        <w:t xml:space="preserve">Några dagar, innan jag for upp till riksdagen, kom upp till mig en skollärare från en skogssocken i Halland och berättade följande: På 1860-talet hade en </w:t>
      </w:r>
      <w:r>
        <w:rPr>
          <w:b/>
        </w:rPr>
        <w:t>kvinna¹</w:t>
      </w:r>
      <w:r>
        <w:rPr>
          <w:b w:val="0"/>
        </w:rPr>
        <w:t xml:space="preserve"> fått ett oäkta barn; fadren hade visserligen lofvat </w:t>
      </w:r>
      <w:r>
        <w:rPr>
          <w:b/>
        </w:rPr>
        <w:t>henne²</w:t>
      </w:r>
      <w:r>
        <w:rPr>
          <w:b w:val="0"/>
        </w:rPr>
        <w:t xml:space="preserve"> äktenskap, men detta var icke bevisligt, och han hade sedermera öfvergifvit </w:t>
      </w:r>
      <w:r>
        <w:rPr>
          <w:b/>
        </w:rPr>
        <w:t>henne²</w:t>
      </w:r>
      <w:r>
        <w:rPr>
          <w:b w:val="0"/>
        </w:rPr>
        <w:t xml:space="preserve">. </w:t>
      </w:r>
      <w:r>
        <w:rPr>
          <w:b/>
        </w:rPr>
        <w:t>Hon²</w:t>
      </w:r>
      <w:r>
        <w:rPr>
          <w:b w:val="0"/>
        </w:rPr>
        <w:t xml:space="preserve"> erkände detta barn som sitt, dock icke så, att </w:t>
      </w:r>
      <w:r>
        <w:rPr>
          <w:b/>
        </w:rPr>
        <w:t>hon²</w:t>
      </w:r>
      <w:r>
        <w:rPr>
          <w:b w:val="0"/>
        </w:rPr>
        <w:t xml:space="preserve"> lät anteckna det såsom sitt i kyrkboken —</w:t>
        <w:br/>
        <w:br/>
        <w:t xml:space="preserve">1866 års lag fanns för resten icke då — men barnet antecknades dock i kyrkboken såsom </w:t>
      </w:r>
      <w:r>
        <w:rPr>
          <w:b/>
        </w:rPr>
        <w:t>hennes²</w:t>
      </w:r>
      <w:r>
        <w:rPr>
          <w:b w:val="0"/>
        </w:rPr>
        <w:t xml:space="preserve"> oäkta barn. Barnet — det var en ficka — uppfostrades mycket väl och blef en duglig människa, som</w:t>
        <w:br/>
        <w:br/>
        <w:t xml:space="preserve">fick en god tjänst och förvärfvade en liten förmögenhet. Modern hade emellertid köpt en liten hemmanslott, hvarför </w:t>
      </w:r>
      <w:r>
        <w:rPr>
          <w:b/>
        </w:rPr>
        <w:t>flickan²</w:t>
      </w:r>
      <w:r>
        <w:rPr>
          <w:b w:val="0"/>
        </w:rPr>
        <w:t xml:space="preserve"> kom tillbaka och hjälpte modern att sköta egendomen. Modern blef sjuk och </w:t>
      </w:r>
      <w:r>
        <w:rPr>
          <w:b/>
        </w:rPr>
        <w:t>flickan²</w:t>
      </w:r>
      <w:r>
        <w:rPr>
          <w:b w:val="0"/>
        </w:rPr>
        <w:t xml:space="preserve"> gaf modern sina penningar, hvilka </w:t>
      </w:r>
      <w:r>
        <w:rPr>
          <w:b/>
        </w:rPr>
        <w:t>hon²</w:t>
      </w:r>
      <w:r>
        <w:rPr>
          <w:b w:val="0"/>
        </w:rPr>
        <w:t xml:space="preserve"> lade ned i egendomen, som </w:t>
      </w:r>
      <w:r>
        <w:rPr>
          <w:b/>
        </w:rPr>
        <w:t>flickan²</w:t>
      </w:r>
      <w:r>
        <w:rPr>
          <w:b w:val="0"/>
        </w:rPr>
        <w:t xml:space="preserve"> odlade upp, så att den blef en rätt god egendom. Så dör modern, i förvissning om att </w:t>
      </w:r>
      <w:r>
        <w:rPr>
          <w:b/>
        </w:rPr>
        <w:t>flickan²</w:t>
      </w:r>
      <w:r>
        <w:rPr>
          <w:b w:val="0"/>
        </w:rPr>
        <w:t xml:space="preserve"> skulle få hela </w:t>
      </w:r>
      <w:r>
        <w:rPr>
          <w:b/>
        </w:rPr>
        <w:t>hennes²</w:t>
      </w:r>
      <w:r>
        <w:rPr>
          <w:b w:val="0"/>
        </w:rPr>
        <w:t xml:space="preserve"> kvarlåtenskap. Men hvad händer? Alla människor visste, att </w:t>
      </w:r>
      <w:r>
        <w:rPr>
          <w:b/>
        </w:rPr>
        <w:t>flickan²</w:t>
      </w:r>
      <w:r>
        <w:rPr>
          <w:b w:val="0"/>
        </w:rPr>
        <w:t xml:space="preserve"> var </w:t>
      </w:r>
      <w:r>
        <w:rPr>
          <w:b/>
        </w:rPr>
        <w:t>hennes²</w:t>
      </w:r>
      <w:r>
        <w:rPr>
          <w:b w:val="0"/>
        </w:rPr>
        <w:t xml:space="preserve"> barn och att </w:t>
      </w:r>
      <w:r>
        <w:rPr>
          <w:b/>
        </w:rPr>
        <w:t>hon²</w:t>
      </w:r>
      <w:r>
        <w:rPr>
          <w:b w:val="0"/>
        </w:rPr>
        <w:t xml:space="preserve"> och </w:t>
      </w:r>
      <w:r>
        <w:rPr>
          <w:b/>
        </w:rPr>
        <w:t>flickan²</w:t>
      </w:r>
      <w:r>
        <w:rPr>
          <w:b w:val="0"/>
        </w:rPr>
        <w:t xml:space="preserve"> lefvat tillsammans såsom </w:t>
      </w:r>
      <w:r>
        <w:rPr>
          <w:b/>
        </w:rPr>
        <w:t>mor²</w:t>
      </w:r>
      <w:r>
        <w:rPr>
          <w:b w:val="0"/>
        </w:rPr>
        <w:t xml:space="preserve"> och </w:t>
      </w:r>
      <w:r>
        <w:rPr>
          <w:b/>
        </w:rPr>
        <w:t>dotter²</w:t>
      </w:r>
      <w:r>
        <w:rPr>
          <w:b w:val="0"/>
        </w:rPr>
        <w:t xml:space="preserve">. Men modern var icke så bildad, att </w:t>
      </w:r>
      <w:r>
        <w:rPr>
          <w:b/>
        </w:rPr>
        <w:t>hon²</w:t>
      </w:r>
      <w:r>
        <w:rPr>
          <w:b w:val="0"/>
        </w:rPr>
        <w:t xml:space="preserve"> förstod att upprätta testamente; icke heller förstod </w:t>
      </w:r>
      <w:r>
        <w:rPr>
          <w:b/>
        </w:rPr>
        <w:t>hon²</w:t>
      </w:r>
      <w:r>
        <w:rPr>
          <w:b w:val="0"/>
        </w:rPr>
        <w:t xml:space="preserve"> sig på, att det skulle behöfvas någon särskild af </w:t>
      </w:r>
      <w:r>
        <w:rPr>
          <w:b/>
        </w:rPr>
        <w:t>henne²</w:t>
      </w:r>
      <w:r>
        <w:rPr>
          <w:b w:val="0"/>
        </w:rPr>
        <w:t xml:space="preserve"> anmäld anteckning i kyrkboken, för att </w:t>
      </w:r>
      <w:r>
        <w:rPr>
          <w:b/>
        </w:rPr>
        <w:t>dottern²</w:t>
      </w:r>
      <w:r>
        <w:rPr>
          <w:b w:val="0"/>
        </w:rPr>
        <w:t xml:space="preserve"> skulle vara berättigad till arf. Resultatet blef alltså, att </w:t>
      </w:r>
      <w:r>
        <w:rPr>
          <w:b/>
        </w:rPr>
        <w:t>dottern²</w:t>
      </w:r>
      <w:r>
        <w:rPr>
          <w:b w:val="0"/>
        </w:rPr>
        <w:t xml:space="preserve">, hvilken bidragit att öka </w:t>
      </w:r>
      <w:r>
        <w:rPr>
          <w:b/>
        </w:rPr>
        <w:t>moderns²</w:t>
      </w:r>
      <w:r>
        <w:rPr>
          <w:b w:val="0"/>
        </w:rPr>
        <w:t xml:space="preserve"> förmögenhet, icke erhöll ett grand af </w:t>
      </w:r>
      <w:r>
        <w:rPr>
          <w:b/>
        </w:rPr>
        <w:t>moderns²</w:t>
      </w:r>
      <w:r>
        <w:rPr>
          <w:b w:val="0"/>
        </w:rPr>
        <w:t xml:space="preserve"> kvarlåtenskap, som däremot tillföll några aflägsna släktingar till modern, hvilka under </w:t>
      </w:r>
      <w:r>
        <w:rPr>
          <w:b/>
        </w:rPr>
        <w:t>hennes²</w:t>
      </w:r>
      <w:r>
        <w:rPr>
          <w:b w:val="0"/>
        </w:rPr>
        <w:t xml:space="preserve"> lifstid icke stått i ringaste förbindelse med </w:t>
      </w:r>
      <w:r>
        <w:rPr>
          <w:b/>
        </w:rPr>
        <w:t>henne²</w:t>
      </w:r>
      <w:r>
        <w:rPr>
          <w:b w:val="0"/>
        </w:rPr>
        <w:t>.</w:t>
        <w:br/>
        <w:br/>
        <w:t>Skall man låta en sådan lag fortfarande existera? Ja, säger man, men man kan ju göra testamente. Ja, det veta juristerna, men icke menige man: det har ännu icke ingått i allmänna rättsmedvetandet.</w:t>
        <w:br/>
        <w:br/>
        <w:t>Varen förvissade, mina herrar, att om icke denna lagändring nu går igenom, så kommer förslaget därom tillbaka år efter år. Det är en humanitetsfråga, som man icke kan låta falla. Man kan icke låta den oskyldige lida för den skyldige.</w:t>
        <w:br/>
        <w:br/>
        <w:t>Jag yrkar bifall till lagutskottets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