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29</w:t>
      </w:r>
    </w:p>
    <w:p>
      <w:r>
        <w:rPr>
          <w:b/>
        </w:rPr>
        <w:t xml:space="preserve">Datum: </w:t>
      </w:r>
      <w:r>
        <w:t>1903-02-24</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Filip Boström (–, man)</w:t>
      </w:r>
    </w:p>
    <w:p>
      <w:r>
        <w:rPr>
          <w:b w:val="0"/>
        </w:rPr>
        <w:t xml:space="preserve">När jag tillät mig att i denna ärade kammare väcka ett förslag om, att den för trettio år sedan den ogifta 21-åriga </w:t>
      </w:r>
      <w:r>
        <w:rPr>
          <w:b/>
        </w:rPr>
        <w:t>kvinnan¹</w:t>
      </w:r>
      <w:r>
        <w:rPr>
          <w:b w:val="0"/>
        </w:rPr>
        <w:t xml:space="preserve"> medgifna rättigheten till myndighet skulle utsträckas äfven till den gifta </w:t>
      </w:r>
      <w:r>
        <w:rPr>
          <w:b/>
        </w:rPr>
        <w:t>kvinnan¹</w:t>
      </w:r>
      <w:r>
        <w:rPr>
          <w:b w:val="0"/>
        </w:rPr>
        <w:t>, insåg jag mer än väl, att detta förslag i denna ärade kammare skulle komma att mottagas med mycken tvekan från åtskilliga håll. Jag stärktes i denna min uppfattning, när jag å nyo genomläste 1898 års första kammarprotokoll vid det tillfälle, då fråga om förändring af åtskilliga paragrafer i giftermålsbalken här debatterades.</w:t>
        <w:br/>
        <w:br/>
        <w:t>Många olika meningar uttalades då, och många varningens ord höjdes mot lämpligheten af då föreslagna förändringar; och denna mening tog sig ett det skarpaste uttryck i följande ord: » Allt, som åsyftar att fråntaga mannen hans ekonomiska målsmanskap, leder till sönderrifvande af äktenskapets enhet och till införande af split och missnöje och anledningar därtill». Jag vill nu visst icke säga, att en så långt drifven tvekan genomgår utskottets motivering till den af detsamma föreslagna skrifvelsen; men nog kan man läsa mellan raderna i denna motivering, att utskottet helst hade sett, att denna fråga ännu en tid fått hvila,</w:t>
        <w:br/>
        <w:br/>
        <w:t>men att, när den nu blifvit väckt, man på grund af den otillfredsställande och osammanhängande lagstiftningen i detta hänseende icke kunde undgå att komma med ett skrifvelseförslag i ämnet, ett skrifvelseförslag, som man dock ville göra så oskyldigt som möjligt. Jag tillåter mig emellertid att till lagutskottet framföra mitt tack för det sätt, hvarpå utskottet behandlat motionen; ty utan tvifvel har genom det skrifvelseförslag, lagutskottet här framlagt, frågans lösning kommit ett steg närmare.</w:t>
        <w:br/>
        <w:br/>
        <w:t xml:space="preserve">Hvad säger nu </w:t>
      </w:r>
      <w:r>
        <w:rPr>
          <w:b/>
        </w:rPr>
        <w:t>kvinnan¹</w:t>
      </w:r>
      <w:r>
        <w:rPr>
          <w:b w:val="0"/>
        </w:rPr>
        <w:t xml:space="preserve"> om den förändring, som här är i fråga?</w:t>
        <w:br/>
        <w:br/>
        <w:t xml:space="preserve">Jo, naturligtvis finnas många, som aldrig allvarligt tänkt sig in i den, och som, om en fråga till dem framställdes, skulle förklara förändringen obehöflig; men den tänkande, den allvarliga, den om sitt eget värde rädda </w:t>
      </w:r>
      <w:r>
        <w:rPr>
          <w:b/>
        </w:rPr>
        <w:t>kvinnan¹</w:t>
      </w:r>
      <w:r>
        <w:rPr>
          <w:b w:val="0"/>
        </w:rPr>
        <w:t xml:space="preserve">, </w:t>
      </w:r>
      <w:r>
        <w:rPr>
          <w:b/>
        </w:rPr>
        <w:t>hon²</w:t>
      </w:r>
      <w:r>
        <w:rPr>
          <w:b w:val="0"/>
        </w:rPr>
        <w:t xml:space="preserve"> gifver svaret på ett annat sätt, </w:t>
      </w:r>
      <w:r>
        <w:rPr>
          <w:b/>
        </w:rPr>
        <w:t>hon²</w:t>
      </w:r>
      <w:r>
        <w:rPr>
          <w:b w:val="0"/>
        </w:rPr>
        <w:t xml:space="preserve"> säger enstämmigt: låten oss få behålla den rätt vi släppte, när vi gifte oss, och ni skolen få se, att resultatet icke kommer att visa någon tendens till samhällsupplösning, utan tvärtom att bandet mellan makarna och de olika familjemedlemmarna härigenom kommer att stärkas! Jag kan så mycket mer uttala, att denna mening är enstämmig, som jag under dessa dagar från olika trakter af landet, senast i denna dag från Göteborg, mottagit resolutioner, som visa, att en sådan uppfattning, som jag här antydt, är allmän. Det hjälper icke, att </w:t>
      </w:r>
      <w:r>
        <w:rPr>
          <w:b/>
        </w:rPr>
        <w:t>kvinnan¹</w:t>
      </w:r>
      <w:r>
        <w:rPr>
          <w:b w:val="0"/>
        </w:rPr>
        <w:t xml:space="preserve"> besitter intelligens och kunskaper, det hjälper icke, att </w:t>
      </w:r>
      <w:r>
        <w:rPr>
          <w:b/>
        </w:rPr>
        <w:t>hon²</w:t>
      </w:r>
      <w:r>
        <w:rPr>
          <w:b w:val="0"/>
        </w:rPr>
        <w:t xml:space="preserve"> genom aflagda examina såsom gift utöfvar en verksamhet, som är för samhället i dess helhet välsignelsebringande och nyttig, </w:t>
      </w:r>
      <w:r>
        <w:rPr>
          <w:b/>
        </w:rPr>
        <w:t>hon²</w:t>
      </w:r>
      <w:r>
        <w:rPr>
          <w:b w:val="0"/>
        </w:rPr>
        <w:t xml:space="preserve"> står dock kvar på den gamla ståndpunkten. Modern, som i många år varit sina barns hjälp och stöd och sett söner och </w:t>
      </w:r>
      <w:r>
        <w:rPr>
          <w:b/>
        </w:rPr>
        <w:t>döttrar²</w:t>
      </w:r>
      <w:r>
        <w:rPr>
          <w:b w:val="0"/>
        </w:rPr>
        <w:t xml:space="preserve"> uppnå myndig ålder, denna </w:t>
      </w:r>
      <w:r>
        <w:rPr>
          <w:b/>
        </w:rPr>
        <w:t>moder²</w:t>
      </w:r>
      <w:r>
        <w:rPr>
          <w:b w:val="0"/>
        </w:rPr>
        <w:t xml:space="preserve"> finner, att </w:t>
      </w:r>
      <w:r>
        <w:rPr>
          <w:b/>
        </w:rPr>
        <w:t>hon²</w:t>
      </w:r>
      <w:r>
        <w:rPr>
          <w:b w:val="0"/>
        </w:rPr>
        <w:t xml:space="preserve">, sina tjänare inberäknade, är den enda medlemmen af familjen; som fortfarande är omyndig. Man kan väl ändå säga, att </w:t>
      </w:r>
      <w:r>
        <w:rPr>
          <w:b/>
        </w:rPr>
        <w:t>hon²</w:t>
      </w:r>
      <w:r>
        <w:rPr>
          <w:b w:val="0"/>
        </w:rPr>
        <w:t xml:space="preserve"> såsom </w:t>
      </w:r>
      <w:r>
        <w:rPr>
          <w:b/>
        </w:rPr>
        <w:t>moder²</w:t>
      </w:r>
      <w:r>
        <w:rPr>
          <w:b w:val="0"/>
        </w:rPr>
        <w:t xml:space="preserve"> har en för samhället synnerligen viktig mission att fylla. Den ogifta </w:t>
      </w:r>
      <w:r>
        <w:rPr>
          <w:b/>
        </w:rPr>
        <w:t>kvinnan¹</w:t>
      </w:r>
      <w:r>
        <w:rPr>
          <w:b w:val="0"/>
        </w:rPr>
        <w:t xml:space="preserve">, som haft förmånen att, innan </w:t>
      </w:r>
      <w:r>
        <w:rPr>
          <w:b/>
        </w:rPr>
        <w:t>hon²</w:t>
      </w:r>
      <w:r>
        <w:rPr>
          <w:b w:val="0"/>
        </w:rPr>
        <w:t xml:space="preserve"> ingick i det äkta ståndet, själf disponera sin förmögenhet, finner, då </w:t>
      </w:r>
      <w:r>
        <w:rPr>
          <w:b/>
        </w:rPr>
        <w:t>hon²</w:t>
      </w:r>
      <w:r>
        <w:rPr>
          <w:b w:val="0"/>
        </w:rPr>
        <w:t xml:space="preserve"> inträder i detsamma, att </w:t>
      </w:r>
      <w:r>
        <w:rPr>
          <w:b/>
        </w:rPr>
        <w:t>hon²</w:t>
      </w:r>
      <w:r>
        <w:rPr>
          <w:b w:val="0"/>
        </w:rPr>
        <w:t xml:space="preserve"> härvidlag har förlorat sin rätt, och att </w:t>
      </w:r>
      <w:r>
        <w:rPr>
          <w:b/>
        </w:rPr>
        <w:t>hon²</w:t>
      </w:r>
      <w:r>
        <w:rPr>
          <w:b w:val="0"/>
        </w:rPr>
        <w:t xml:space="preserve"> endast har att vända sig till sin man för att med hans goda minne erhålla hvad </w:t>
      </w:r>
      <w:r>
        <w:rPr>
          <w:b/>
        </w:rPr>
        <w:t>hon²</w:t>
      </w:r>
      <w:r>
        <w:rPr>
          <w:b w:val="0"/>
        </w:rPr>
        <w:t xml:space="preserve"> behöfver så i ett som annat hänseende. Själfva nödvändigheten för </w:t>
      </w:r>
      <w:r>
        <w:rPr>
          <w:b/>
        </w:rPr>
        <w:t>henne²</w:t>
      </w:r>
      <w:r>
        <w:rPr>
          <w:b w:val="0"/>
        </w:rPr>
        <w:t xml:space="preserve"> att behöfva begära, hvad </w:t>
      </w:r>
      <w:r>
        <w:rPr>
          <w:b/>
        </w:rPr>
        <w:t>hon²</w:t>
      </w:r>
      <w:r>
        <w:rPr>
          <w:b w:val="0"/>
        </w:rPr>
        <w:t xml:space="preserve"> sålunda behöfver, är för </w:t>
      </w:r>
      <w:r>
        <w:rPr>
          <w:b/>
        </w:rPr>
        <w:t>henne²</w:t>
      </w:r>
      <w:r>
        <w:rPr>
          <w:b w:val="0"/>
        </w:rPr>
        <w:t xml:space="preserve"> nedsättande, så mycket mera som man kan enas om, att det sätt, hvarpå </w:t>
      </w:r>
      <w:r>
        <w:rPr>
          <w:b/>
        </w:rPr>
        <w:t>hon²</w:t>
      </w:r>
      <w:r>
        <w:rPr>
          <w:b w:val="0"/>
        </w:rPr>
        <w:t xml:space="preserve"> förstår att använda sina medel för välgörande och allmännyttiga ändamål, kanske vida öfverträffar mannens. Huru ofta händer det icke, att en </w:t>
      </w:r>
      <w:r>
        <w:rPr>
          <w:b/>
        </w:rPr>
        <w:t>kvinna¹</w:t>
      </w:r>
      <w:r>
        <w:rPr>
          <w:b w:val="0"/>
        </w:rPr>
        <w:t xml:space="preserve">, som vid äktenskapets ingående satt in en stor förmögenhet, snart märker, att den decimerats, utan att </w:t>
      </w:r>
      <w:r>
        <w:rPr>
          <w:b/>
        </w:rPr>
        <w:t>hon²</w:t>
      </w:r>
      <w:r>
        <w:rPr>
          <w:b w:val="0"/>
        </w:rPr>
        <w:t xml:space="preserve"> blifvit hörd, och utan att </w:t>
      </w:r>
      <w:r>
        <w:rPr>
          <w:b/>
        </w:rPr>
        <w:t>hon²</w:t>
      </w:r>
      <w:r>
        <w:rPr>
          <w:b w:val="0"/>
        </w:rPr>
        <w:t xml:space="preserve"> haft vetskap om, i hvilken utsträckning detta skett!</w:t>
        <w:br/>
        <w:br/>
        <w:t>Men för min del tror jag, att denna förändring har en ännu</w:t>
        <w:br/>
        <w:br/>
        <w:t xml:space="preserve">större betydelse, när man tänker på den fattiga klassen. Månne Om revision icke man skulle kunna tänka sig, att genom de bestämmelser, d SN Äing som i giftermålsbalken förefinnas, de fria förbindelserna blifva flera körsmde och icke färre, än de skulle behöfva blifva? Jag tänker mig en </w:t>
      </w:r>
      <w:r>
        <w:rPr>
          <w:b/>
        </w:rPr>
        <w:t>hustrus²</w:t>
      </w:r>
      <w:r>
        <w:rPr>
          <w:b w:val="0"/>
        </w:rPr>
        <w:t xml:space="preserve"> rättsfattig </w:t>
      </w:r>
      <w:r>
        <w:rPr>
          <w:b/>
        </w:rPr>
        <w:t>kvinna¹</w:t>
      </w:r>
      <w:r>
        <w:rPr>
          <w:b w:val="0"/>
        </w:rPr>
        <w:t xml:space="preserve">, som lefver i ett sådant förhållande med en man liga ställning. och med honom framfödt barn, och att </w:t>
      </w:r>
      <w:r>
        <w:rPr>
          <w:b/>
        </w:rPr>
        <w:t>hon²</w:t>
      </w:r>
      <w:r>
        <w:rPr>
          <w:b w:val="0"/>
        </w:rPr>
        <w:t xml:space="preserve">, när fråga väckes, (Forts. om de skola ingå giftermål med hvarandra, ryggar tillbaka af fruktan, att det lilla bo, </w:t>
      </w:r>
      <w:r>
        <w:rPr>
          <w:b/>
        </w:rPr>
        <w:t>hon²</w:t>
      </w:r>
      <w:r>
        <w:rPr>
          <w:b w:val="0"/>
        </w:rPr>
        <w:t xml:space="preserve"> med sitt arbete släpat ihop, skall på grund af gällande stadganden med afseende å mannens målsmanskap komma att spolieras och </w:t>
      </w:r>
      <w:r>
        <w:rPr>
          <w:b/>
        </w:rPr>
        <w:t>hon²</w:t>
      </w:r>
      <w:r>
        <w:rPr>
          <w:b w:val="0"/>
        </w:rPr>
        <w:t xml:space="preserve"> därigenom råka i nöd och elände. Jag föreställer mig, att så kan vara förhållandet. Och tänker man på de uppgifter, som af den ärade talaren på stockholmsbänken, herr Afzelius, för några dagar sedan i hans briljanta anförande om oäkta barns arfsrätt lämnades om det stora antal oäkta barn, som inom landet finnes, vågar jag antaga, att en af anledningarna till detta stora antal kan vara det förhållande, jag här antydt. Jag talar naturligtvis icke härvidlag om förhållandena på landet, utan om förhållandena särskildt här i hufvudstaden och i de större städerna.</w:t>
        <w:br/>
        <w:br/>
        <w:t xml:space="preserve">Man skulle, om man antoge det förslag, som nu föreligger, icke gifva sig ut på det okända; ty redan 1888 antog Norge och 1899 Danmark en lag, som medgaf den gifta </w:t>
      </w:r>
      <w:r>
        <w:rPr>
          <w:b/>
        </w:rPr>
        <w:t>kvinnan¹</w:t>
      </w:r>
      <w:r>
        <w:rPr>
          <w:b w:val="0"/>
        </w:rPr>
        <w:t xml:space="preserve"> myndighet i likhet med den ogifta, och jag har icke hört, att några ledsamheter eller obehag i socialt hänseende uppstått på grund af dessa lagbestämmelser.</w:t>
        <w:br/>
        <w:br/>
        <w:t xml:space="preserve">Här har man nu att välja på de tre skrifvelseförslag, som återfinnas i lagutskottets föreliggande betänkande. Jag kan naturligtvis icke tillåta mig att yrka bifall till motionen, då jag finner, att de af utskottet anförda och af den i utskottet sittande ene reservanten delvis medgifna anmärkningar mot stiliseringen af densamma äro hållbara. Men då kan jag för min del icke annat än hålla på den redigering af skrifvelsen, som af herr Lindhagen här föreslagits — ett skrifvelseförslag, som nyss i Andra Kammaren utan votering antogs, då intet enda annat yrkande ens blifvit där framställdt. I förhoppning, att en sådan skrifvelse skulle kunna antagas äfven i denna kammare, tillåter jag mig att i detta mitt yrkande uttala den förhoppning, att regeringen måtte snarast möjligt verkställa den utredning, som på grund af densamma är erforderlig, och att den svenska Riksdagen därefter må medgifva den gifta </w:t>
      </w:r>
      <w:r>
        <w:rPr>
          <w:b/>
        </w:rPr>
        <w:t>kvinnan¹</w:t>
      </w:r>
      <w:r>
        <w:rPr>
          <w:b w:val="0"/>
        </w:rPr>
        <w:t xml:space="preserve"> samma rättighet, som samma Riksdag för trettio år sedan gifvit </w:t>
      </w:r>
      <w:r>
        <w:rPr>
          <w:b/>
        </w:rPr>
        <w:t>hennes²</w:t>
      </w:r>
      <w:r>
        <w:rPr>
          <w:b w:val="0"/>
        </w:rPr>
        <w:t xml:space="preserve"> ogifta </w:t>
      </w:r>
      <w:r>
        <w:rPr>
          <w:b/>
        </w:rPr>
        <w:t>syster²</w:t>
      </w:r>
      <w:r>
        <w:rPr>
          <w:b w:val="0"/>
        </w:rPr>
        <w:t>.</w:t>
        <w:br/>
        <w:br/>
        <w:t>Jag tillåter mig sålunda yrka afslag å lagutskottets skrifvelseförslag och bifall till herr Lindhagens reservation.</w:t>
      </w:r>
    </w:p>
    <w:p>
      <w:pPr>
        <w:pStyle w:val="Heading2"/>
      </w:pPr>
      <w:r>
        <w:t>2. Ivar Afzelius (Första kammarens minoritetsparti, man)</w:t>
      </w:r>
    </w:p>
    <w:p>
      <w:r>
        <w:rPr>
          <w:b w:val="0"/>
        </w:rPr>
        <w:t>Herrarne skola icke af mig vänta något djupare ingående på denna fråga i någon egentlig sakdebatt. Det finnes mycket riktigt och tilltalande, mycket, som jag om-</w:t>
        <w:br/>
        <w:br/>
        <w:t>fattar med gammal sympati i hvad motionärerna, reservanterna och den siste talaren sagt. Men jag anser icke anledning föreligga att i dag ingå på en sådan sakdebatt.</w:t>
        <w:br/>
        <w:br/>
        <w:t>Att 1898 års lag har sina brister, sina stora brister, var alldeles icke fördoldt för oss, som voro med och verkade för att den skulle i Riksdagen vinna framgång. Det är, kan man säga om denna lag, en halfhetens lag; jag tillät mig då om densamma yttra, att den icke tänkte tankarne till slut. Att man går tillväga med försiktighet vid lagstiftning, är nog på sin plats, det är på sin plats framför allt, då det gäller ett så grannlaga område som familjerätten. Men jag trodde då och jag tror ännu, att man 1898 var alltför försiktig, att man gick till väga med obehöflig räddhåga.</w:t>
        <w:br/>
        <w:br/>
        <w:t>Då så är, då lagen är bristfällig, skola vi då icke göra om den, göra något bättre, tänka tankarne, om icke till slut, så åtminstone en godt stycke längre på väg? Jag har nyligen haft särskild anledning att öfverväga och besvara denna fråga. När lagberedningen skulle träda i verksamhet, mötte frågan: hvad bör i främsta rummet blifva föremål för lagberedningens arbete? Och det var då naturligt, att uppmärksamheten fästes vid giftermålsbalken. En stor del af denna balk — jag skulle vilja kalla den den egentliga familjerätten, den, som handlar om äktenskaps ingående och upplösning, trolofning etc. — hör till de mest föråldrade partierna i vår lagstiftning, där möta vi också en hel labyrint af småförfattningar, härstammaude från olika tider, återspeglande olika åskådningssätt. Det är synnerligen svårt äfven för den rättskunnige — jag vill icke tala om allmänheten, om lekmannen — att där trefva sig fram. Det var därför naturligt, att man tänkte på att taga itu med detta parti. Men då frågade man sig: är det lämpligt att taga denna del utan att på samma gång taga den andra delen, den förmögenhetsrättsliga? Och svaret blef: nej, detta är icke lämpligt. Men å andra sidan: det är alltför tidigt att omarbeta 1898 års lag, den trädde i kraft den 1 januari 1899, den har således tillämpats blott fyra år; därmed måste man vänta. Till följd däraf blef arbetet på giftermålsbalken icke taget i främsta rummet, utan ämnet blef, såsom herrarne veta, ett annat. Riktigheten af denna uppfattning — att det icke kan vara lämpligt att efter fyra år börja att göra om en lag — föreställde jag mig vara höjd öfver allt tvifvel, och jag bibehåller fortfarande denna uppfattning. Jag tror verkligen icke, att man bör göra vår allmänna lag till ett experimentalfält, som man plöjer upp då och då för att så om eller så upp. Jag tror, att lagstiftaren får lof att visa sitt eget verk en större respekt än så, om han för detta verk vill begära någon respekt af andra.</w:t>
        <w:br/>
        <w:br/>
        <w:t>Nu frågar man mig: är det icke på samma sätt här? Här vill man ju taga ut en punkt, en mycket viktig punkt, en kar-</w:t>
        <w:br/>
        <w:br/>
        <w:t xml:space="preserve">dinalpunkt af samma lagstiftning och göra om den. Är icke Om revision detta också för tidigt? z föra Jo för visso; men här tillkommer något annat: i denna punkt rade” är 1898 års lagstiftning absolut oklar, den är oviss; mellan </w:t>
      </w:r>
      <w:r>
        <w:rPr>
          <w:b/>
        </w:rPr>
        <w:t>rättshustrus²</w:t>
      </w:r>
      <w:r>
        <w:rPr>
          <w:b w:val="0"/>
        </w:rPr>
        <w:t xml:space="preserve"> rättslärde, mellan domare förekomma ständiga tvister om, huru långt liga ställning. denna lag menar, att </w:t>
      </w:r>
      <w:r>
        <w:rPr>
          <w:b/>
        </w:rPr>
        <w:t>hustruns²</w:t>
      </w:r>
      <w:r>
        <w:rPr>
          <w:b w:val="0"/>
        </w:rPr>
        <w:t xml:space="preserve"> rättsliga myndighet skall sträcka (Forts.) sig. Jag har själf i högsta domstolen flera gånger deltagit i afgörande af denna tolkningsfråga, då den afgjorts med fyra röster mot tre. 1898 års lag är i detta fall osäker; och osäker rätt föder naturligtvis osäker rättsskipning. Men rättsskipningens säkerhet är det viktigaste och främsta af allt. Att i denna punkt föreligger rättsosäkerhet, att denna bör afhjälpas, att behofvet däraf är hvad jag vill kalla trängande, står för mig klart; och vid sådant förhållande anser jag mig, trots min motvilja att röra vid en så ny lag, icke kunna motsätta mig en sådan framställning, som den lagutskottet gjort. En längre gående hemställan anser jag däremot i sakens nuvarande läge vara hvarken behöflig eller berättigad. Jag ber således att få yrka bifall till lagutskottets förslag.</w:t>
      </w:r>
    </w:p>
    <w:p>
      <w:pPr>
        <w:pStyle w:val="Heading2"/>
      </w:pPr>
      <w:r>
        <w:t>3. Teofron Säve (–, man)</w:t>
      </w:r>
    </w:p>
    <w:p>
      <w:r>
        <w:rPr>
          <w:b w:val="0"/>
        </w:rPr>
        <w:t xml:space="preserve">Det torde vara få områden, på hvilka lagstiftningen har arbetat så långsamt och kommit till så föga tillfredsställande resultat som på det, som omfattar rättsförhållandena mellan makar. Jag har frågat mig, hvad anledningen kan vara härtill, och jag har icke kunnat gifva mig något annat svar än det, att så länge vi så segt fasthålla vid den uppfattning af mannens målsmanskap öfver </w:t>
      </w:r>
      <w:r>
        <w:rPr>
          <w:b/>
        </w:rPr>
        <w:t>kvinnan¹</w:t>
      </w:r>
      <w:r>
        <w:rPr>
          <w:b w:val="0"/>
        </w:rPr>
        <w:t>, som ligger till grund för 1 8 af I kap. giftermålsbalken, blir det omöjligt att föra fram lagstiftningen på detta område eller att genomföra sådana reformer, som skulle kunna upphäfva de missförhållanden, som faktiskt förefinnas och hvilka blifva allt kännbarare i samma grad som den företrädesvis lidande parten kommit eller kommer till insikt om, att de innebära verkliga orättvisor. Att skulden till alla de svårigheter, som här möta lagstiftaren, företrädesvis ligger i målsmanskapet, fick jag klart för mig af förhandlingarna öfver hit hörande frågor vid 1898 års riksdag. Den siste högt ärade talaren har helt nyss, såsom vi hört, framhållit betydelsen af den lagstiftning, som då ägde rum, och han har, liksom äfven lagutskottet i sitt betänkande, framhållit det olämpliga uti att nu föra fram lagstiftningen vidare, då Riksdagen för så kort tid sedan uttalat sig och nya lagar stiftats. Men jag beder att få vördsamt fråga honom och lagutskottet: hvad var det,som Riksdagen i själfva verket fattade beslut om 1898, och hvad var anledningen till de lagpropositioner, som då framlades? Jo, anledningen var Riksdagens eget uttalande 1884! Jag ber att få fästa herrarnes uppmärksamhet på detta uttalande, öfvertygad om, att det är åtskilliga i kammaren, som glömt det. Riksdagen framhöll</w:t>
        <w:br/>
        <w:br/>
        <w:t xml:space="preserve">häri fem punkter rörande rättsförhållandena mellan makar, öfver hvilka den hos Kungl. Maj:t begärde att få lagförslag. I fjorton hela år fick Riksdagen vänta på dessa lagförslag. Andtligen kommo de, det skedde 1898, men de behandlade endast tre af de utaf Riksdagen framställda fem punkterna. I en af de två punkter, på hvilka Riksdagen icke fick svar, en synnerligen viktig punkt, hade Riksdagen yrkat på rätt för gift </w:t>
      </w:r>
      <w:r>
        <w:rPr>
          <w:b/>
        </w:rPr>
        <w:t>kvinna¹</w:t>
      </w:r>
      <w:r>
        <w:rPr>
          <w:b w:val="0"/>
        </w:rPr>
        <w:t xml:space="preserve"> »att själf förvalta den egendom, som vore </w:t>
      </w:r>
      <w:r>
        <w:rPr>
          <w:b/>
        </w:rPr>
        <w:t>hennes²</w:t>
      </w:r>
      <w:r>
        <w:rPr>
          <w:b w:val="0"/>
        </w:rPr>
        <w:t xml:space="preserve"> enskilda tillhörighet, utan att behöfva genom äktenskapsförord förbehålla sig sådan rätt». Hvarför fick då icke Riksdagen svar på sin begäran i denna del? Jo, man hade funnit, att Riksdagens begäran åsyftade att rubba mannens rätt att förvalta makarnes egendom, hvilken rätt vore en följd af grundsatsen om mannens målsmanskap öfver </w:t>
      </w:r>
      <w:r>
        <w:rPr>
          <w:b/>
        </w:rPr>
        <w:t>hustrun²</w:t>
      </w:r>
      <w:r>
        <w:rPr>
          <w:b w:val="0"/>
        </w:rPr>
        <w:t xml:space="preserve">, en grundsats, som icke finge rubbas. Och detta underströks äfven under debatten i Första Kammaren af en talare, som med skärpa framhöll, att »de båda rättsinstituten, mannens målsmanskap och </w:t>
      </w:r>
      <w:r>
        <w:rPr>
          <w:b/>
        </w:rPr>
        <w:t>kvinnans¹</w:t>
      </w:r>
      <w:r>
        <w:rPr>
          <w:b w:val="0"/>
        </w:rPr>
        <w:t xml:space="preserve"> fria förvaltning af egendomen, äro oförenliga».</w:t>
        <w:br/>
        <w:br/>
        <w:t xml:space="preserve">Kan man nu verkligen begära, att Riksdagen skall vara nöjd med den lagstiftning, som vidtogs, låt vara så nyss som för fem år sedan? Den kan det ej, så länge den ej fått den vackra tanke, som ligger framhållen i äktenskapsförordet, utvecklad och utsträckt till verkligt skydd för alla gifta </w:t>
      </w:r>
      <w:r>
        <w:rPr>
          <w:b/>
        </w:rPr>
        <w:t>kvinnors¹</w:t>
      </w:r>
      <w:r>
        <w:rPr>
          <w:b w:val="0"/>
        </w:rPr>
        <w:t xml:space="preserve"> egendom. Man kan säga — och däruti har herr Afzelius utom all fråga rätt — att Riksdagen kan nöja sig med den lagstiftning, som skedde i afseende å de tre punkterna, men icke vill man därför, att lagstiftningsarbetet skall hvila med afseende å de två återstående.</w:t>
        <w:br/>
        <w:br/>
        <w:t>Det är en särskild omständighet, som kommit mig att tänka på förhandlingarna i denna fråga 1898, och det är lagutskottets kläm. Det är ju alldeles uppenbart, att om vi finge en lag i öfverensstämmelse med Riksdagens begäran 1884 i den af mig nyss citerade punkten, skulle detta innebära en väsentlig rubbning af grunderna för de nuvarande bestämmelserna med afseende å mannens målsmansrätt och egendomens förvaltning. Nu har däremot lagutskottet framhållit i sin kläm, att Riksdagen skulle</w:t>
        <w:br/>
        <w:br/>
        <w:t>"skrifva till Kungl. Maj:t och anhålla »att Kungl. Maj:t täcktes</w:t>
        <w:br/>
        <w:br/>
        <w:t xml:space="preserve">taga i öfvervägande, i hvad mån gällande lagstiftning om </w:t>
      </w:r>
      <w:r>
        <w:rPr>
          <w:b/>
        </w:rPr>
        <w:t>hustrus²</w:t>
      </w:r>
      <w:r>
        <w:rPr>
          <w:b w:val="0"/>
        </w:rPr>
        <w:t xml:space="preserve"> rättsliga ställning kan böra blifva föremål för jämkning eller förtydligande, i syfte att, utan väsentlig rubbning af de grunder, hvarpå denna lagstiftning hvilar, </w:t>
      </w:r>
      <w:r>
        <w:rPr>
          <w:b/>
        </w:rPr>
        <w:t>hustrus²</w:t>
      </w:r>
      <w:r>
        <w:rPr>
          <w:b w:val="0"/>
        </w:rPr>
        <w:t xml:space="preserve"> rättsställning måtte blifva mera klart och följdriktigt bestämd». Antager sålunda Riksdagen denna lagutskottets kläm, har Riksdagen sagt, att den icke vill veta af någon väsentlig rubbning af de grunder, hvarpå den nuvarande lagstiftningen hvilar. 1884 ville Riksdagen hafva en så beskaffad väsentlig rubbning, fastän den ej fick hvad den önskade; nu uttalar Riksdagen, att den icke vill hafva någon sådan rubbning. Observeren icke de af kammarens ärade ledamöter, som</w:t>
        <w:br/>
        <w:br/>
        <w:t xml:space="preserve">med större intresse omfattat </w:t>
      </w:r>
      <w:r>
        <w:rPr>
          <w:b/>
        </w:rPr>
        <w:t>kvinnosaken¹</w:t>
      </w:r>
      <w:r>
        <w:rPr>
          <w:b w:val="0"/>
        </w:rPr>
        <w:t xml:space="preserve">, att här ligger en farlig Om revision punkt i lagutskottets uttalande? Tager man den, har man på (7 gällande a op os ss s gstiftning samma gång angifvit, att man vill hafva en retrograd lagstift- "”Jyrande ning; man ställer sig såsom rent reaktionär i denna </w:t>
      </w:r>
      <w:r>
        <w:rPr>
          <w:b/>
        </w:rPr>
        <w:t>betydelsehustrus²</w:t>
      </w:r>
      <w:r>
        <w:rPr>
          <w:b w:val="0"/>
        </w:rPr>
        <w:t xml:space="preserve"> rättsfulla fråga. Det är tydligt, att jag under sådana förhållanden liga ställning. och med den ståndpunkt jag intager i </w:t>
      </w:r>
      <w:r>
        <w:rPr>
          <w:b/>
        </w:rPr>
        <w:t>kvinnofrågan¹</w:t>
      </w:r>
      <w:r>
        <w:rPr>
          <w:b w:val="0"/>
        </w:rPr>
        <w:t xml:space="preserve"> icke kan = (Forts. vara med om lagutskottets kläm. Ej heller kan jag vara med om lagutskottets motivering. Jag vill emellertid nu endast fästa uppmärksamheten på hvad lagutskottet anför på sid. 10: »Lagstiftningen om mannens och </w:t>
      </w:r>
      <w:r>
        <w:rPr>
          <w:b/>
        </w:rPr>
        <w:t>kvinnans¹</w:t>
      </w:r>
      <w:r>
        <w:rPr>
          <w:b w:val="0"/>
        </w:rPr>
        <w:t xml:space="preserve"> inbördes ställning i äktenskapet har efter grundlig och omsorgsfull förberedelse helt nyligen varit föremål för Riksdagens pröfning, och någon anledning till väsentligare rubbning af de grundsatser, hvarpå denna lagstiftning hvilar, förefinnes icke enligt utskottets uppfattning.» Det ligger något vilseledande i detta, ty målsmansfrågan var icke föremål för Riksdagens pröfning 1898, och hvad »anledningen till väsentligare rubbning af nu gällande grundsatser» beträffar, så kan det ju vara godt och väl, att lagutskottet för sin del icke finner någon sådan, men om lagutskottets ärade ledamöter skulle vända sig till dem, som haft tillfälle att reflektera öfver målsmanskapet, så skulle de nog få höra, att här förefinnes anledning. Dessa olyckliga </w:t>
      </w:r>
      <w:r>
        <w:rPr>
          <w:b/>
        </w:rPr>
        <w:t>kvinnor¹</w:t>
      </w:r>
      <w:r>
        <w:rPr>
          <w:b w:val="0"/>
        </w:rPr>
        <w:t xml:space="preserve"> t. ex., som den förste talaren fäste uppmärksamheten på, dessa </w:t>
      </w:r>
      <w:r>
        <w:rPr>
          <w:b/>
        </w:rPr>
        <w:t>kvinnor¹</w:t>
      </w:r>
      <w:r>
        <w:rPr>
          <w:b w:val="0"/>
        </w:rPr>
        <w:t xml:space="preserve"> inom arbetsklassen, hvilka ingått illegitima förbindelser med arbetare och icke vilja afsluta dem med giftermål, de skulle nog svara oss, om vi till dem ställde den frågan, hvarför de icke vilja detta: »nej, vi våga icke, därför att det finnes något som kallas mannens målsmanskap»; och ej underligt, ty detta målsmanskap utöfvas inom denna klass på ett brutalt sätt. Och vill man vända sig till dessa bildade </w:t>
      </w:r>
      <w:r>
        <w:rPr>
          <w:b/>
        </w:rPr>
        <w:t>kvinnor¹</w:t>
      </w:r>
      <w:r>
        <w:rPr>
          <w:b w:val="0"/>
        </w:rPr>
        <w:t xml:space="preserve"> inom de bättre lottade samhällsklasserna, som verkligen tänkt öfver </w:t>
      </w:r>
      <w:r>
        <w:rPr>
          <w:b/>
        </w:rPr>
        <w:t>kvinnofrågan¹</w:t>
      </w:r>
      <w:r>
        <w:rPr>
          <w:b w:val="0"/>
        </w:rPr>
        <w:t xml:space="preserve">, så skulle nog äfven de svara, att här finnes anledning, ty det är alldeles gifvet, såsom den förste talaren framhöll, att det måste vara förödmjukande för en </w:t>
      </w:r>
      <w:r>
        <w:rPr>
          <w:b/>
        </w:rPr>
        <w:t>kvinna¹</w:t>
      </w:r>
      <w:r>
        <w:rPr>
          <w:b w:val="0"/>
        </w:rPr>
        <w:t xml:space="preserve"> med ett ädelt sinne att vara beröfvad de medborgerliga rättigheter, som ligga i en i lag erkänd myndighet, helst denna myndighet förut tillkommit </w:t>
      </w:r>
      <w:r>
        <w:rPr>
          <w:b/>
        </w:rPr>
        <w:t>henne²</w:t>
      </w:r>
      <w:r>
        <w:rPr>
          <w:b w:val="0"/>
        </w:rPr>
        <w:t xml:space="preserve">, innan äktenskapet ingicks. Det måtte vara mycket hårdt för den gifta </w:t>
      </w:r>
      <w:r>
        <w:rPr>
          <w:b/>
        </w:rPr>
        <w:t>kvinnan¹</w:t>
      </w:r>
      <w:r>
        <w:rPr>
          <w:b w:val="0"/>
        </w:rPr>
        <w:t xml:space="preserve"> att känna sig i saknad af dessa medborgerliga rättigheter, hvilka tillkomma </w:t>
      </w:r>
      <w:r>
        <w:rPr>
          <w:b/>
        </w:rPr>
        <w:t>hennes²</w:t>
      </w:r>
      <w:r>
        <w:rPr>
          <w:b w:val="0"/>
        </w:rPr>
        <w:t xml:space="preserve"> söner, som </w:t>
      </w:r>
      <w:r>
        <w:rPr>
          <w:b/>
        </w:rPr>
        <w:t>hon²</w:t>
      </w:r>
      <w:r>
        <w:rPr>
          <w:b w:val="0"/>
        </w:rPr>
        <w:t xml:space="preserve"> uppfostrat till medborgare, kanske till lagstiftare, och då på arten af denna uppfostran i främsta rummet skall bero, huru de skola utvecklas, som kanske en gång skola framträda i det offentliga bland ledarne af nationens öden, allt under det </w:t>
      </w:r>
      <w:r>
        <w:rPr>
          <w:b/>
        </w:rPr>
        <w:t>hon²</w:t>
      </w:r>
      <w:r>
        <w:rPr>
          <w:b w:val="0"/>
        </w:rPr>
        <w:t xml:space="preserve"> själf är i saknad af en myndighet, som däremot inför lagen tillkommer </w:t>
      </w:r>
      <w:r>
        <w:rPr>
          <w:b/>
        </w:rPr>
        <w:t>hennes²</w:t>
      </w:r>
      <w:r>
        <w:rPr>
          <w:b w:val="0"/>
        </w:rPr>
        <w:t xml:space="preserve"> </w:t>
      </w:r>
      <w:r>
        <w:rPr>
          <w:b/>
        </w:rPr>
        <w:t>döttrar²</w:t>
      </w:r>
      <w:r>
        <w:rPr>
          <w:b w:val="0"/>
        </w:rPr>
        <w:t xml:space="preserve">. Det har många gånger sagts, att den skandinaviskt-germanska rasen städse visat aktning för </w:t>
      </w:r>
      <w:r>
        <w:rPr>
          <w:b/>
        </w:rPr>
        <w:t>kvinnan¹</w:t>
      </w:r>
      <w:r>
        <w:rPr>
          <w:b w:val="0"/>
        </w:rPr>
        <w:t>, och man har däruti velat</w:t>
        <w:br/>
        <w:br/>
        <w:t xml:space="preserve">se något berömvärdt hos denna ras. Jag tror, att det berömmet är tämligen oförtjänt. Jag kan sluta därtill af den gamla lagbestämmelsen, som är äldre till och med än våra skrifna landskapslagar: »gånge hatt till och hufva från». Att lagbudet är urgammalt finna herrarne af allitterationen. Närmast hade det afseende på arfskiften; brodern tog hela arfvet, </w:t>
      </w:r>
      <w:r>
        <w:rPr>
          <w:b/>
        </w:rPr>
        <w:t>systern²</w:t>
      </w:r>
      <w:r>
        <w:rPr>
          <w:b w:val="0"/>
        </w:rPr>
        <w:t xml:space="preserve"> fick ingen del däri. En af Sveriges mest framstående män, den andre, hvilken, såvidt jag vet, tog </w:t>
      </w:r>
      <w:r>
        <w:rPr>
          <w:b/>
        </w:rPr>
        <w:t>kvinnosaken¹</w:t>
      </w:r>
      <w:r>
        <w:rPr>
          <w:b w:val="0"/>
        </w:rPr>
        <w:t xml:space="preserve"> om hand — den förste var Erik den Helige — Birger Jarl, ändrade detta så tillvida som han påbjöd, att </w:t>
      </w:r>
      <w:r>
        <w:rPr>
          <w:b/>
        </w:rPr>
        <w:t>syster²</w:t>
      </w:r>
      <w:r>
        <w:rPr>
          <w:b w:val="0"/>
        </w:rPr>
        <w:t xml:space="preserve"> skulle ärfva hälften mot broder. Mina herrar, äfven detta var orättvisa, och denna orättvisa i lagstiftningen blef bestående i 600 år, ända till 1845, då det genomdrefs, att </w:t>
      </w:r>
      <w:r>
        <w:rPr>
          <w:b/>
        </w:rPr>
        <w:t>syster²</w:t>
      </w:r>
      <w:r>
        <w:rPr>
          <w:b w:val="0"/>
        </w:rPr>
        <w:t xml:space="preserve"> skulle taga arf lika med broder. Ingenting kunde väl tyckas mera billigt och rättvist, och ändock var motståndet mot denna lagförändring stort. På svenska riddarhuset sades det: skola vi gifva till våra mågar och taga ifrån våra söner? Måhända hade detta ridderskapets och adelns motstånd mot reformen varit mindre, om man på den tiden kunnat höja sig till den tanken, att hvad man gaf till </w:t>
      </w:r>
      <w:r>
        <w:rPr>
          <w:b/>
        </w:rPr>
        <w:t>döttrarna²</w:t>
      </w:r>
      <w:r>
        <w:rPr>
          <w:b w:val="0"/>
        </w:rPr>
        <w:t xml:space="preserve">, det skulle de få behålla, om förvaltningsrätten likasom äganderätten lagligen tillerkändes dem inom den nya familj, i hvilken de med giftermålet inträdde. Den gamla lagbestämmelsen upphäfdes alltså 1845, men den kom tillbaka igen, då det bestämdes, att ogift </w:t>
      </w:r>
      <w:r>
        <w:rPr>
          <w:b/>
        </w:rPr>
        <w:t>kvinna¹</w:t>
      </w:r>
      <w:r>
        <w:rPr>
          <w:b w:val="0"/>
        </w:rPr>
        <w:t xml:space="preserve"> skulle vara myndig vid 21 års ålder. Den ogifta </w:t>
      </w:r>
      <w:r>
        <w:rPr>
          <w:b/>
        </w:rPr>
        <w:t>kvinnan¹</w:t>
      </w:r>
      <w:r>
        <w:rPr>
          <w:b w:val="0"/>
        </w:rPr>
        <w:t xml:space="preserve"> blef således myndig vid samma ålder som mannen. De ingå äktenskap med hvarandra. Mannen är fortfarande myndig, men hans myndighet utsträckes nu öfver </w:t>
      </w:r>
      <w:r>
        <w:rPr>
          <w:b/>
        </w:rPr>
        <w:t>kvinnan¹</w:t>
      </w:r>
      <w:r>
        <w:rPr>
          <w:b w:val="0"/>
        </w:rPr>
        <w:t>, som efter äktenskapets ingående förlorar sin myndighet och ställes under mannens målsmanskap. Där hafva vi således fått igen det gamla lagbudet: »gånge hatt till och hufva från».</w:t>
        <w:br/>
        <w:br/>
        <w:t>Jag hoppas, att den dag ej må vara alltför långt aflägsen, då det blifver klart och tydligt fastslaget i vår lag, att hufvan har samma rätt som hatten, och i den förhoppningen vill jag förena mig med den förste ärade talaren i hans yrkande om bifall till herr Lindhagens reservation.</w:t>
      </w:r>
    </w:p>
    <w:p>
      <w:pPr>
        <w:pStyle w:val="Heading2"/>
      </w:pPr>
      <w:r>
        <w:t>4. Ernst Trygger (Första kammarens nationella parti, man)</w:t>
      </w:r>
    </w:p>
    <w:p>
      <w:r>
        <w:rPr>
          <w:b w:val="0"/>
        </w:rPr>
        <w:t xml:space="preserve">Efter de lysande anföranden, vi hört, till förmån för en skrifvelse i den ena eller andra riktningen, är det pinsamt att uppträda, på sätt jag nu måste göra, med yrkande om afslag å alla skrifvelseförslag, synnerligast då jag i afseende å själfva principfrågan hyser alldeles samma åsikter som de herrar, hvilka talat för en skrifvelse. Afven jag vill på alla sätt stärka den gifta </w:t>
      </w:r>
      <w:r>
        <w:rPr>
          <w:b/>
        </w:rPr>
        <w:t>kvinnans¹</w:t>
      </w:r>
      <w:r>
        <w:rPr>
          <w:b w:val="0"/>
        </w:rPr>
        <w:t xml:space="preserve"> rättsliga ställning och gifva </w:t>
      </w:r>
      <w:r>
        <w:rPr>
          <w:b/>
        </w:rPr>
        <w:t>henne²</w:t>
      </w:r>
      <w:r>
        <w:rPr>
          <w:b w:val="0"/>
        </w:rPr>
        <w:t xml:space="preserve"> allt hvad </w:t>
      </w:r>
      <w:r>
        <w:rPr>
          <w:b/>
        </w:rPr>
        <w:t>hon²</w:t>
      </w:r>
      <w:r>
        <w:rPr>
          <w:b w:val="0"/>
        </w:rPr>
        <w:t xml:space="preserve"> skäligen kan begära. Att jag dock icke kan vara med om något af de här framställda skrifvelseförslagen beror därpå, att man där vill en sak, men begär en annan sak. Om man förut ej vetat detta, så fick man genom den nästföregående</w:t>
        <w:br/>
        <w:br/>
        <w:t xml:space="preserve">ärade talarens yttrande full klarhet härutinnan. Hela hans ar- Om revision gumentation gick därpå ut, att det nuvarande förhållandet är id mG sorgligt, framför allt därutinnan, att den gifta </w:t>
      </w:r>
      <w:r>
        <w:rPr>
          <w:b/>
        </w:rPr>
        <w:t>kvinnan¹</w:t>
      </w:r>
      <w:r>
        <w:rPr>
          <w:b w:val="0"/>
        </w:rPr>
        <w:t xml:space="preserve"> beröfvas Kg möjligheten att själf disponera öfver sin förmögenhet, hvilken </w:t>
      </w:r>
      <w:r>
        <w:rPr>
          <w:b/>
        </w:rPr>
        <w:t>hustrus²</w:t>
      </w:r>
      <w:r>
        <w:rPr>
          <w:b w:val="0"/>
        </w:rPr>
        <w:t xml:space="preserve"> rättshennes man, utan att </w:t>
      </w:r>
      <w:r>
        <w:rPr>
          <w:b/>
        </w:rPr>
        <w:t>hon²</w:t>
      </w:r>
      <w:r>
        <w:rPr>
          <w:b w:val="0"/>
        </w:rPr>
        <w:t xml:space="preserve"> kan sätta sig däremot, fullständigt liga ställning. kan spoliera. Om herrarne vilja taga närmare kännedom om de (Forts.) olika skrifvelseförslagen, framför allt utskottets, heter det ock där:</w:t>
        <w:br/>
        <w:br/>
        <w:t>»Utan väsentlig rubbning af de grunder, hvarpå denna lagstift-</w:t>
        <w:br/>
        <w:br/>
        <w:t>ning hvilar». Afven den Lindhagenska reservationen begär uttryckligen, att, med bibehållande af mannens allmänna förvalt-</w:t>
        <w:br/>
        <w:br/>
        <w:t xml:space="preserve">ningsrätt öfver makarnas bo, </w:t>
      </w:r>
      <w:r>
        <w:rPr>
          <w:b/>
        </w:rPr>
        <w:t>hustrun²</w:t>
      </w:r>
      <w:r>
        <w:rPr>
          <w:b w:val="0"/>
        </w:rPr>
        <w:t xml:space="preserve"> skall förklaras myndig.</w:t>
        <w:br/>
        <w:br/>
        <w:t>Herrarne torde alltså finna af den siste talarens anförande, liksom</w:t>
        <w:br/>
        <w:br/>
        <w:t>ock af den förste talarens yttrande, att de vilja en sak; men de</w:t>
        <w:br/>
        <w:br/>
        <w:t>begära icke hvad de vilja. Och hvarför begära de det icke?</w:t>
        <w:br/>
        <w:br/>
        <w:t>Jo, tvifvelsutan af det skäl, som herr Afzelius förklarade vara</w:t>
        <w:br/>
        <w:br/>
        <w:t>för sig bestämmande, att det vore väl tidigt att redan nu ifråga-</w:t>
        <w:br/>
        <w:br/>
        <w:t>sätta en förändring i 1898 års lag, som reglerar makarnas förmögenhetsförhållanden. Man begär därför någonting annat än</w:t>
        <w:br/>
        <w:br/>
        <w:t>hvad man egentligen åstundar. Hvad är det då man denna</w:t>
        <w:br/>
        <w:br/>
        <w:t>gång syftar åt?</w:t>
        <w:br/>
        <w:br/>
        <w:t xml:space="preserve">Låtom oss först se till, hurudan den lagstiftning är, som för närvarande gäller. Är den gifta </w:t>
      </w:r>
      <w:r>
        <w:rPr>
          <w:b/>
        </w:rPr>
        <w:t>kvinnan¹</w:t>
      </w:r>
      <w:r>
        <w:rPr>
          <w:b w:val="0"/>
        </w:rPr>
        <w:t xml:space="preserve"> myndig eller är </w:t>
      </w:r>
      <w:r>
        <w:rPr>
          <w:b/>
        </w:rPr>
        <w:t>hon²</w:t>
      </w:r>
      <w:r>
        <w:rPr>
          <w:b w:val="0"/>
        </w:rPr>
        <w:t xml:space="preserve"> omyndig? Hvilket är förhållandet mellan å ena sidan mannens. målsmanskap öfver </w:t>
      </w:r>
      <w:r>
        <w:rPr>
          <w:b/>
        </w:rPr>
        <w:t>hustrun²</w:t>
      </w:r>
      <w:r>
        <w:rPr>
          <w:b w:val="0"/>
        </w:rPr>
        <w:t xml:space="preserve"> och å andra sidan en förmyndares förmynderskap öfver sin myndling? Mina herrar, såvidt jag förstår, äro båda dessa saker species af en högre enhet. De äro att anse såsom olika slag af målsmanskap i vidsträckt mening. Förmynderskap är ett slag, mannens målsmanskap öfver </w:t>
      </w:r>
      <w:r>
        <w:rPr>
          <w:b/>
        </w:rPr>
        <w:t>hustrun²</w:t>
      </w:r>
      <w:r>
        <w:rPr>
          <w:b w:val="0"/>
        </w:rPr>
        <w:t xml:space="preserve"> eller hvad vi kalla målsmanskap i inskränkt mening är ett annat slag. Och hvarutinnan äro de då olika? Jo, olikheten beror på de olika ändamålen med målsmanskapet i de olika fallen. Vid förmynderskap är ändamålet, att, när en person saknar förmåga att själf vårda sin person eller egendom, åt en annan skall öfverlåtas vården däraf, och förmynderskapet kan vara olika i olika fall. Ar den omyndige under 21 år, ingår äfven i förmynderskapet omsorgen om dennes uppfostran; är han öfver 21 år, afser förmynderskapet i regel endast skötseln af förmögenheten. Beträffande däremot mannens målsmanskap har detta till ändamål att bevara familjens enhet och tillgodose dess intressen, och detta målsmanskap sträcker sig så långt, som detta ändamål kräfver.</w:t>
        <w:br/>
        <w:br/>
        <w:t xml:space="preserve">Angående hvad som fordras för bevarande af denna enhet kunna ju meningarna vara delade. Vår lag ställer sig på den ståndpunkten, att det kräfves två saker: först och främst, att mannen i regeln innehar förvaltningen af makarnas förmögenhet, och för det andra, att mannen äger en viss rätt att bestimma öfver </w:t>
      </w:r>
      <w:r>
        <w:rPr>
          <w:b/>
        </w:rPr>
        <w:t>hustruns²</w:t>
      </w:r>
      <w:r>
        <w:rPr>
          <w:b w:val="0"/>
        </w:rPr>
        <w:t xml:space="preserve"> person. Om man nu skrede till att uttryckligen förklara </w:t>
      </w:r>
      <w:r>
        <w:rPr>
          <w:b/>
        </w:rPr>
        <w:t>hustrun²</w:t>
      </w:r>
      <w:r>
        <w:rPr>
          <w:b w:val="0"/>
        </w:rPr>
        <w:t xml:space="preserve"> myndig, fruktar jag, att man i stället för klarhet</w:t>
        <w:br/>
        <w:br/>
        <w:t xml:space="preserve">och reda i lagstiftningen införde oklarhet och oreda. Det blefve då angeläget att undersöka, i hvad mån denna myndighetsförklaring influerade på </w:t>
      </w:r>
      <w:r>
        <w:rPr>
          <w:b/>
        </w:rPr>
        <w:t>hustruns²</w:t>
      </w:r>
      <w:r>
        <w:rPr>
          <w:b w:val="0"/>
        </w:rPr>
        <w:t xml:space="preserve"> ställning i öfrigt. Jag tror för min del, att de, som vilja förklara </w:t>
      </w:r>
      <w:r>
        <w:rPr>
          <w:b/>
        </w:rPr>
        <w:t>hustrun²</w:t>
      </w:r>
      <w:r>
        <w:rPr>
          <w:b w:val="0"/>
        </w:rPr>
        <w:t xml:space="preserve"> myndig och samtidigt upphäfva mannens målsmanskap, mer eller mindre medvetet hafva sett frågan endast från en sida, nämligen ur förmögenhetssynpunkt, och jag befarar, att de ej vidare tänkt sig in uti </w:t>
      </w:r>
      <w:r>
        <w:rPr>
          <w:b/>
        </w:rPr>
        <w:t>hustruns²</w:t>
      </w:r>
      <w:r>
        <w:rPr>
          <w:b w:val="0"/>
        </w:rPr>
        <w:t xml:space="preserve"> ställning i andra afseenden. 'Eller skulle det verkligen kunna vara meningen, att, såsom lagutskottet antyder, mannen ej skulle äga bestämma, hvar </w:t>
      </w:r>
      <w:r>
        <w:rPr>
          <w:b/>
        </w:rPr>
        <w:t>hustrun²</w:t>
      </w:r>
      <w:r>
        <w:rPr>
          <w:b w:val="0"/>
        </w:rPr>
        <w:t xml:space="preserve"> skall hafva sin boningsort? Skulle man vilja upphäfva mannens målsmanskap ända därhän, att, när mannen bodde i Malmö, </w:t>
      </w:r>
      <w:r>
        <w:rPr>
          <w:b/>
        </w:rPr>
        <w:t>hustrun²</w:t>
      </w:r>
      <w:r>
        <w:rPr>
          <w:b w:val="0"/>
        </w:rPr>
        <w:t xml:space="preserve"> skulle utan vidare äga slå upp sitt hemvist i Göteborg? Jag tror, att man bör betänka sig något, innan man beslutar sig för att gå så långt.</w:t>
        <w:br/>
        <w:br/>
        <w:t xml:space="preserve">Hvad därefter angår min egen ståndpunkt i denna fråga, är den följande. Den sidan af mannens målsmanskap, som afser makarnas förmögenhet, tror jag kan inskränkas mera än hvad som skedde genom 1898 års lag. Ty därmed afsågs egentligen endast att hindra mannen att förstöra </w:t>
      </w:r>
      <w:r>
        <w:rPr>
          <w:b/>
        </w:rPr>
        <w:t>hustruns²</w:t>
      </w:r>
      <w:r>
        <w:rPr>
          <w:b w:val="0"/>
        </w:rPr>
        <w:t xml:space="preserve"> förmögenhet, medan man samtidigt sökte förekomma, att </w:t>
      </w:r>
      <w:r>
        <w:rPr>
          <w:b/>
        </w:rPr>
        <w:t>hustrun²</w:t>
      </w:r>
      <w:r>
        <w:rPr>
          <w:b w:val="0"/>
        </w:rPr>
        <w:t xml:space="preserve"> förstörde densamma. Men man tog däremot ej tillräcklig hänsyn till </w:t>
      </w:r>
      <w:r>
        <w:rPr>
          <w:b/>
        </w:rPr>
        <w:t>hustruns²</w:t>
      </w:r>
      <w:r>
        <w:rPr>
          <w:b w:val="0"/>
        </w:rPr>
        <w:t xml:space="preserve"> intresse att oberoende af äktenskapsförord kunna själf tå äga och förvalta den egendom, </w:t>
      </w:r>
      <w:r>
        <w:rPr>
          <w:b/>
        </w:rPr>
        <w:t>hon²</w:t>
      </w:r>
      <w:r>
        <w:rPr>
          <w:b w:val="0"/>
        </w:rPr>
        <w:t xml:space="preserve"> infört i boet. Denna sida af målsmanskapet borde därför lämpligen underkastas inskränkning. Men jag frågar: finnes verkligen något skäl att i öfrigt inskränka detta? Kan man påvisa något, som skulle kunna med fog åberopas såsom skäl för att hos Kungl. Maj:t begära utredning i riktning af inskränkning af mannens målsmanskap i öfrigt? Eller skulle man redan nu vilja i afseende å makars förmögenhetsförhållanden påkalla en ändring i nu gällande, så nyligen stiftade lag? Skulle verkligen härför kunna åberopas någon fullgiltig grund? Jag betviflar det, och jag tror för min del, att det är bäst att något se tiden an, så att man kan taga frågan i hela dess vidd under ompröfning.</w:t>
        <w:br/>
        <w:br/>
        <w:t xml:space="preserve">Här har talats så mycket om att </w:t>
      </w:r>
      <w:r>
        <w:rPr>
          <w:b/>
        </w:rPr>
        <w:t>hustrun²</w:t>
      </w:r>
      <w:r>
        <w:rPr>
          <w:b w:val="0"/>
        </w:rPr>
        <w:t xml:space="preserve"> vore den enda inom familjen, som till sin grämelse kände sig omyndig. Men, mina herrar, den gifta </w:t>
      </w:r>
      <w:r>
        <w:rPr>
          <w:b/>
        </w:rPr>
        <w:t>kvinnan¹</w:t>
      </w:r>
      <w:r>
        <w:rPr>
          <w:b w:val="0"/>
        </w:rPr>
        <w:t xml:space="preserve"> är icke omyndig. </w:t>
      </w:r>
      <w:r>
        <w:rPr>
          <w:b/>
        </w:rPr>
        <w:t>Hon²</w:t>
      </w:r>
      <w:r>
        <w:rPr>
          <w:b w:val="0"/>
        </w:rPr>
        <w:t xml:space="preserve"> står under mannens målsmanskap, men omyndig är </w:t>
      </w:r>
      <w:r>
        <w:rPr>
          <w:b/>
        </w:rPr>
        <w:t>hon²</w:t>
      </w:r>
      <w:r>
        <w:rPr>
          <w:b w:val="0"/>
        </w:rPr>
        <w:t xml:space="preserve"> icke. Den sorgen kan </w:t>
      </w:r>
      <w:r>
        <w:rPr>
          <w:b/>
        </w:rPr>
        <w:t>hon²</w:t>
      </w:r>
      <w:r>
        <w:rPr>
          <w:b w:val="0"/>
        </w:rPr>
        <w:t xml:space="preserve"> alltså slå bort. I dess ställe finner jag något, som bör kunna fylla </w:t>
      </w:r>
      <w:r>
        <w:rPr>
          <w:b/>
        </w:rPr>
        <w:t>henne²</w:t>
      </w:r>
      <w:r>
        <w:rPr>
          <w:b w:val="0"/>
        </w:rPr>
        <w:t xml:space="preserve"> med stolthet. Hvarför inskränker </w:t>
      </w:r>
      <w:r>
        <w:rPr>
          <w:b/>
        </w:rPr>
        <w:t>hon²</w:t>
      </w:r>
      <w:r>
        <w:rPr>
          <w:b w:val="0"/>
        </w:rPr>
        <w:t xml:space="preserve"> sin personliga handlingsfrihet genom att under nuvarande lagstiftning ingå äktenskap? Jo, </w:t>
      </w:r>
      <w:r>
        <w:rPr>
          <w:b/>
        </w:rPr>
        <w:t>hon²</w:t>
      </w:r>
      <w:r>
        <w:rPr>
          <w:b w:val="0"/>
        </w:rPr>
        <w:t xml:space="preserve"> gör det i familjens intresse. Och jag kan icke finna annat än att, då man särskildt i våra dagar är beredd att inskränka medborgarnes handlingsfrihet för det gemensamma bästa och i det allmännas intresse, så att det snart icke finnes något område, där icke den personliga handlingsfriheten möter en lagparagraf, så bör man ej förvånas</w:t>
        <w:br/>
        <w:br/>
        <w:t xml:space="preserve">öfver att familjen, detta samhälle, på hvilket staten dock ytterst Om revision hvilar, kan kräfva, att </w:t>
      </w:r>
      <w:r>
        <w:rPr>
          <w:b/>
        </w:rPr>
        <w:t>hustrun²</w:t>
      </w:r>
      <w:r>
        <w:rPr>
          <w:b w:val="0"/>
        </w:rPr>
        <w:t xml:space="preserve"> för dess skull afstår något af sitt SÅ gällande personliga oberoende. Min mening är ingalunda att offra </w:t>
      </w:r>
      <w:r>
        <w:rPr>
          <w:b/>
        </w:rPr>
        <w:t>hustruns²</w:t>
      </w:r>
      <w:r>
        <w:rPr>
          <w:b w:val="0"/>
        </w:rPr>
        <w:t xml:space="preserve"> os intressen för familjens, utan de offer, som familjen nödvändigt </w:t>
      </w:r>
      <w:r>
        <w:rPr>
          <w:b/>
        </w:rPr>
        <w:t>hustrus²</w:t>
      </w:r>
      <w:r>
        <w:rPr>
          <w:b w:val="0"/>
        </w:rPr>
        <w:t xml:space="preserve"> rättsmåste af </w:t>
      </w:r>
      <w:r>
        <w:rPr>
          <w:b/>
        </w:rPr>
        <w:t>henne²</w:t>
      </w:r>
      <w:r>
        <w:rPr>
          <w:b w:val="0"/>
        </w:rPr>
        <w:t xml:space="preserve"> kräfva, blefve </w:t>
      </w:r>
      <w:r>
        <w:rPr>
          <w:b/>
        </w:rPr>
        <w:t>henne²</w:t>
      </w:r>
      <w:r>
        <w:rPr>
          <w:b w:val="0"/>
        </w:rPr>
        <w:t xml:space="preserve"> rikligt ersätta i andraliga ställning. afseenden. (Forts.) Till sist kommer jag till en sak, som törhända varit den hufvudsakliga anledningen till denna frågas framkomst. Det är utan tvifvel så, att många finnas, hvilka intressera sig lifligt för </w:t>
      </w:r>
      <w:r>
        <w:rPr>
          <w:b/>
        </w:rPr>
        <w:t>kvinnans¹</w:t>
      </w:r>
      <w:r>
        <w:rPr>
          <w:b w:val="0"/>
        </w:rPr>
        <w:t xml:space="preserve"> kommunala och politiska rösträtt, och dessa föreställa sig, att den gifta </w:t>
      </w:r>
      <w:r>
        <w:rPr>
          <w:b/>
        </w:rPr>
        <w:t>kvinnans¹</w:t>
      </w:r>
      <w:r>
        <w:rPr>
          <w:b w:val="0"/>
        </w:rPr>
        <w:t xml:space="preserve"> myndighetsförklaring vore enda medlet för vinnande af denna rätt åt </w:t>
      </w:r>
      <w:r>
        <w:rPr>
          <w:b/>
        </w:rPr>
        <w:t>henne²</w:t>
      </w:r>
      <w:r>
        <w:rPr>
          <w:b w:val="0"/>
        </w:rPr>
        <w:t xml:space="preserve">. Jag vill då nämna, att dessa båda frågor ej stå i något nödvändigt samband med hvarandra, åtminstone ej för den, som fått klart för sig, att den gifta </w:t>
      </w:r>
      <w:r>
        <w:rPr>
          <w:b/>
        </w:rPr>
        <w:t>kvinnan¹</w:t>
      </w:r>
      <w:r>
        <w:rPr>
          <w:b w:val="0"/>
        </w:rPr>
        <w:t xml:space="preserve"> icke är omyndig, utan </w:t>
      </w:r>
      <w:r>
        <w:rPr>
          <w:b/>
        </w:rPr>
        <w:t>hennes²</w:t>
      </w:r>
      <w:r>
        <w:rPr>
          <w:b w:val="0"/>
        </w:rPr>
        <w:t xml:space="preserve"> ställning, såsom varande under mannens målsmanskap, är någonting annat än omyndighet. Och hvad särskildt den kommunala rösträtten angår, tror jag det svårligen kan förnekas, att </w:t>
      </w:r>
      <w:r>
        <w:rPr>
          <w:b/>
        </w:rPr>
        <w:t>hustrun²</w:t>
      </w:r>
      <w:r>
        <w:rPr>
          <w:b w:val="0"/>
        </w:rPr>
        <w:t xml:space="preserve">, för så vidt </w:t>
      </w:r>
      <w:r>
        <w:rPr>
          <w:b/>
        </w:rPr>
        <w:t>hon²</w:t>
      </w:r>
      <w:r>
        <w:rPr>
          <w:b w:val="0"/>
        </w:rPr>
        <w:t xml:space="preserve"> har enskild egendom under sin förvaltning, äger rättighet att uppföras till bevillningstaxering och sålunda jämväl kan få rösträtt i kommunens angelägenheter. Skulle denna tolkning af kommunallagarne vara oriktig — låtom oss då ändra dessa lagar och gifva </w:t>
      </w:r>
      <w:r>
        <w:rPr>
          <w:b/>
        </w:rPr>
        <w:t>kvinnan¹</w:t>
      </w:r>
      <w:r>
        <w:rPr>
          <w:b w:val="0"/>
        </w:rPr>
        <w:t xml:space="preserve"> kommunal rösträtt, men må vi icke aflåta någon skrifvelse om ändringar i afseende å gift </w:t>
      </w:r>
      <w:r>
        <w:rPr>
          <w:b/>
        </w:rPr>
        <w:t>kvinnas¹</w:t>
      </w:r>
      <w:r>
        <w:rPr>
          <w:b w:val="0"/>
        </w:rPr>
        <w:t xml:space="preserve"> ställning inom äktenskapet, hvilken i själfva verket skulle gå vida längre än hvad de afsett, som äro skrifvelsens upphofsmän. På grund af hvad jag nu anfört, anhåller jag att få yrka afslag å såväl utskottets hemställan som å reservanternas förslag.</w:t>
      </w:r>
    </w:p>
    <w:p>
      <w:pPr>
        <w:pStyle w:val="Heading2"/>
      </w:pPr>
      <w:r>
        <w:t>5. Philip Leman (Första kammarens minoritetsparti, man)</w:t>
      </w:r>
    </w:p>
    <w:p>
      <w:r>
        <w:rPr>
          <w:b w:val="0"/>
        </w:rPr>
        <w:t xml:space="preserve">Om man vänder sig till menige man med den frågan: hurudan är den gifta </w:t>
      </w:r>
      <w:r>
        <w:rPr>
          <w:b/>
        </w:rPr>
        <w:t>kvinnans¹</w:t>
      </w:r>
      <w:r>
        <w:rPr>
          <w:b w:val="0"/>
        </w:rPr>
        <w:t xml:space="preserve"> ställning i Sverige, är </w:t>
      </w:r>
      <w:r>
        <w:rPr>
          <w:b/>
        </w:rPr>
        <w:t>hon²</w:t>
      </w:r>
      <w:r>
        <w:rPr>
          <w:b w:val="0"/>
        </w:rPr>
        <w:t xml:space="preserve"> myndig eller omyndig, tror jag, att flertalet skola bedja att få betänka sig och sedan efter någon tvekan skola svara, att </w:t>
      </w:r>
      <w:r>
        <w:rPr>
          <w:b/>
        </w:rPr>
        <w:t>hon²</w:t>
      </w:r>
      <w:r>
        <w:rPr>
          <w:b w:val="0"/>
        </w:rPr>
        <w:t xml:space="preserve"> är omyndig. Vänder man sig åter till de rättslärde och till doktrinen, så är lika visst, att flertalet skola förklara, att de anse gift </w:t>
      </w:r>
      <w:r>
        <w:rPr>
          <w:b/>
        </w:rPr>
        <w:t>kvinna¹</w:t>
      </w:r>
      <w:r>
        <w:rPr>
          <w:b w:val="0"/>
        </w:rPr>
        <w:t xml:space="preserve"> vara myndig. Så besvaras frågan t. ex. af professor Winroth, docent Hellner och professor Kallenberg. Den senare säger: »Den svenska äktenskapslagstiftningen gifver nu ej längre anledning till tvifvelsmål beträffande spörsmålet, huruvida </w:t>
      </w:r>
      <w:r>
        <w:rPr>
          <w:b/>
        </w:rPr>
        <w:t>hustru²</w:t>
      </w:r>
      <w:r>
        <w:rPr>
          <w:b w:val="0"/>
        </w:rPr>
        <w:t xml:space="preserve"> är att anse såsom myndig eller ej. </w:t>
      </w:r>
      <w:r>
        <w:rPr>
          <w:b/>
        </w:rPr>
        <w:t>Hustru²</w:t>
      </w:r>
      <w:r>
        <w:rPr>
          <w:b w:val="0"/>
        </w:rPr>
        <w:t xml:space="preserve"> är städse myndig. </w:t>
      </w:r>
      <w:r>
        <w:rPr>
          <w:b/>
        </w:rPr>
        <w:t>Hon²</w:t>
      </w:r>
      <w:r>
        <w:rPr>
          <w:b w:val="0"/>
        </w:rPr>
        <w:t xml:space="preserve"> är det, oafsedt om </w:t>
      </w:r>
      <w:r>
        <w:rPr>
          <w:b/>
        </w:rPr>
        <w:t>hon²</w:t>
      </w:r>
      <w:r>
        <w:rPr>
          <w:b w:val="0"/>
        </w:rPr>
        <w:t xml:space="preserve"> ännu uppnått myndighetsåldern, och äktenskapet länder följaktligen, om detta ej är förhållandet, så långt ifrån till en inskränkning af </w:t>
      </w:r>
      <w:r>
        <w:rPr>
          <w:b/>
        </w:rPr>
        <w:t>hennes²</w:t>
      </w:r>
      <w:r>
        <w:rPr>
          <w:b w:val="0"/>
        </w:rPr>
        <w:t xml:space="preserve"> rätt, att denna tvärtom utvidgas».</w:t>
        <w:br/>
        <w:br/>
        <w:t>Hvad afser då nu utskottet med sitt skrifvelseförslag? Visserligen icke någon förändring i nu bestående förhållanden, utan utskottet önskar endast, att lagstiftaren skall draga ut konsekven-</w:t>
        <w:br/>
        <w:br/>
        <w:t xml:space="preserve">serna af lagen i hvad den är otydlig, så att det, som ej finnes tydligt och klart stadgadt, må blifva fullt tydligt och redigt i lag uttryckt. Ingenstädes förekommer i vår lag utsagdt, att gift </w:t>
      </w:r>
      <w:r>
        <w:rPr>
          <w:b/>
        </w:rPr>
        <w:t>kvinna¹</w:t>
      </w:r>
      <w:r>
        <w:rPr>
          <w:b w:val="0"/>
        </w:rPr>
        <w:t xml:space="preserve"> är myndig. ”Talaren på stockholmsbänken har ju äfven upplyst oss om, att till och med inom högsta domstolen meningarna varit mycket divergerande angående </w:t>
      </w:r>
      <w:r>
        <w:rPr>
          <w:b/>
        </w:rPr>
        <w:t>hennes²</w:t>
      </w:r>
      <w:r>
        <w:rPr>
          <w:b w:val="0"/>
        </w:rPr>
        <w:t xml:space="preserve"> myndighetsställning samt om </w:t>
      </w:r>
      <w:r>
        <w:rPr>
          <w:b/>
        </w:rPr>
        <w:t>hennes²</w:t>
      </w:r>
      <w:r>
        <w:rPr>
          <w:b w:val="0"/>
        </w:rPr>
        <w:t xml:space="preserve"> rätt att tala och svara vid domstol. Af utskottsbetänkandet framgår, att såväl i Norge som Danmark, hvilka båda länder ju stå oss mycket nära, man uttryckligen har prononcerat den gifta </w:t>
      </w:r>
      <w:r>
        <w:rPr>
          <w:b/>
        </w:rPr>
        <w:t>kvinnans¹</w:t>
      </w:r>
      <w:r>
        <w:rPr>
          <w:b w:val="0"/>
        </w:rPr>
        <w:t xml:space="preserve"> myndighetstillstånd. Jag tillåter mig att komplettera denna upplysning med den erinran, att äfven Finland har liknande bestämmelser i detta ämne. Så heter det t. ex. i lagen den 15 april 1889 om makars egendomsoch gäldsförhållanden: »</w:t>
      </w:r>
      <w:r>
        <w:rPr>
          <w:b/>
        </w:rPr>
        <w:t>Hustru²</w:t>
      </w:r>
      <w:r>
        <w:rPr>
          <w:b w:val="0"/>
        </w:rPr>
        <w:t xml:space="preserve"> råde öfver hvad </w:t>
      </w:r>
      <w:r>
        <w:rPr>
          <w:b/>
        </w:rPr>
        <w:t>hon²</w:t>
      </w:r>
      <w:r>
        <w:rPr>
          <w:b w:val="0"/>
        </w:rPr>
        <w:t xml:space="preserve"> genom eget arbete kan förvärfva. Genom äktenskapsförord må </w:t>
      </w:r>
      <w:r>
        <w:rPr>
          <w:b/>
        </w:rPr>
        <w:t>henne²</w:t>
      </w:r>
      <w:r>
        <w:rPr>
          <w:b w:val="0"/>
        </w:rPr>
        <w:t xml:space="preserve"> tillläggas makt att råda öfver sitt enskilda fasta och lösa gods, och gälle det förord äfven egendomens afkomst. Är </w:t>
      </w:r>
      <w:r>
        <w:rPr>
          <w:b/>
        </w:rPr>
        <w:t>hustrus²</w:t>
      </w:r>
      <w:r>
        <w:rPr>
          <w:b w:val="0"/>
        </w:rPr>
        <w:t xml:space="preserve"> arbetsförtjänst eller afkomst af enskildt gods, hvaröfver </w:t>
      </w:r>
      <w:r>
        <w:rPr>
          <w:b/>
        </w:rPr>
        <w:t>hon²</w:t>
      </w:r>
      <w:r>
        <w:rPr>
          <w:b w:val="0"/>
        </w:rPr>
        <w:t xml:space="preserve"> råder, i annan egendom förvandlad, varde ock den af </w:t>
      </w:r>
      <w:r>
        <w:rPr>
          <w:b/>
        </w:rPr>
        <w:t>hustru²</w:t>
      </w:r>
      <w:r>
        <w:rPr>
          <w:b w:val="0"/>
        </w:rPr>
        <w:t xml:space="preserve"> förvaltad. </w:t>
      </w:r>
      <w:r>
        <w:rPr>
          <w:b/>
        </w:rPr>
        <w:t>Hustru²</w:t>
      </w:r>
      <w:r>
        <w:rPr>
          <w:b w:val="0"/>
        </w:rPr>
        <w:t xml:space="preserve"> äger söka och svara, då saken angår egendom, hvaröfver </w:t>
      </w:r>
      <w:r>
        <w:rPr>
          <w:b/>
        </w:rPr>
        <w:t>hon²</w:t>
      </w:r>
      <w:r>
        <w:rPr>
          <w:b w:val="0"/>
        </w:rPr>
        <w:t xml:space="preserve"> råder».</w:t>
        <w:br/>
        <w:br/>
        <w:t>Och sedermera förekommer den bestämmelsen: »</w:t>
      </w:r>
      <w:r>
        <w:rPr>
          <w:b/>
        </w:rPr>
        <w:t>Hustru²</w:t>
      </w:r>
      <w:r>
        <w:rPr>
          <w:b w:val="0"/>
        </w:rPr>
        <w:t xml:space="preserve"> må ej utan mannens samtycke göra gäld, utan så är, att </w:t>
      </w:r>
      <w:r>
        <w:rPr>
          <w:b/>
        </w:rPr>
        <w:t>hon²</w:t>
      </w:r>
      <w:r>
        <w:rPr>
          <w:b w:val="0"/>
        </w:rPr>
        <w:t xml:space="preserve"> råder öfver sitt fasta gods eller efter behörig anmälan drifver näring. I dessa fall svare </w:t>
      </w:r>
      <w:r>
        <w:rPr>
          <w:b/>
        </w:rPr>
        <w:t>hon²</w:t>
      </w:r>
      <w:r>
        <w:rPr>
          <w:b w:val="0"/>
        </w:rPr>
        <w:t xml:space="preserve"> ock i mål, som sådan gäld rörer».</w:t>
        <w:br/>
        <w:br/>
        <w:t xml:space="preserve">Går man nu vidare till lagen angående förmynderskap den 19 augusti 1898, så säges där: »Den, som ej fyllt 21 år, vare omyndig och hafve förty ej makt att själf förestå sin egendom. Dock äge omyndig, som fyllt 15 år, råda öfver det han eller </w:t>
      </w:r>
      <w:r>
        <w:rPr>
          <w:b/>
        </w:rPr>
        <w:t>hon²</w:t>
      </w:r>
      <w:r>
        <w:rPr>
          <w:b w:val="0"/>
        </w:rPr>
        <w:t xml:space="preserve"> genom eget arbete förvärfvar». Så heter det slutligen: »Gifter sig man eller </w:t>
      </w:r>
      <w:r>
        <w:rPr>
          <w:b/>
        </w:rPr>
        <w:t>kvinna¹</w:t>
      </w:r>
      <w:r>
        <w:rPr>
          <w:b w:val="0"/>
        </w:rPr>
        <w:t xml:space="preserve"> före 21 års ålder, upphöre omyndigheten». Där är det alltså tydligen utsatt i lagen, att gift </w:t>
      </w:r>
      <w:r>
        <w:rPr>
          <w:b/>
        </w:rPr>
        <w:t>kvinna¹</w:t>
      </w:r>
      <w:r>
        <w:rPr>
          <w:b w:val="0"/>
        </w:rPr>
        <w:t xml:space="preserve"> vid hvad ålder som helst är myndig. Vidare är det tydligen uttryckt, att därest någon af makarna skulle anses böra försättas i omyndighetstillstånd, då må »framför andra den omyndiges make förordnas, om det finnes lämpligt». Och så slutar förordningen med det stadgande, att &gt;</w:t>
      </w:r>
      <w:r>
        <w:rPr>
          <w:b/>
        </w:rPr>
        <w:t>kvinna¹</w:t>
      </w:r>
      <w:r>
        <w:rPr>
          <w:b w:val="0"/>
        </w:rPr>
        <w:t xml:space="preserve"> må ej mot sin vilja till förmyndare förordnas». Dessa bestämmelser äro ju till största delen öfverensstämmande med andemeningen i vår egen nu gällande lagstiftning. Och uti denna har utskottet ej velat göra någon ändring. Utskottet har ej heller, såsom den siste talaren förmenade, begärt någonting annat än hvad utskottet velat. Utskottet . har endast önskat, att det måtte komma att stå klart fram för det allmänna rättsmedvetandet och framför allt för våra domare, hurudan och hvilken den gifta </w:t>
      </w:r>
      <w:r>
        <w:rPr>
          <w:b/>
        </w:rPr>
        <w:t>kvinnans¹</w:t>
      </w:r>
      <w:r>
        <w:rPr>
          <w:b w:val="0"/>
        </w:rPr>
        <w:t xml:space="preserve"> rättsliga ställning är enligt svensk lag. Och jag vill erinra om hvad talaren på stockholmsbänken yttrade, då han bestämdt förklarade. att</w:t>
        <w:br/>
        <w:br/>
        <w:t xml:space="preserve">här är icke fråga om någon betänklig rubbning i nu bestående Om revision förhållande. Äfven ber jag med afseende å dem, som vilja gå SÅ finna mycket längre, att få påpeka, att det finnes ej något enda land, rande” där ej mannens målsmansrätt i någon form är lagstadgad, och </w:t>
      </w:r>
      <w:r>
        <w:rPr>
          <w:b/>
        </w:rPr>
        <w:t>hustrus²</w:t>
      </w:r>
      <w:r>
        <w:rPr>
          <w:b w:val="0"/>
        </w:rPr>
        <w:t xml:space="preserve"> rättsdetta är ju ock äktenskapets natur — det måste så vara. Och liga stälining. den har utskottet ju ej heller tänkt taga bort. Man har blott (Forts. velat närmare fixera gränserna för denna rätt inom ramen af nu gällande lag. Slutligen och med anledning däraf, att en talare yttrat, att man kommit fram med förslag i syfte att på den vägen kunna bereda </w:t>
      </w:r>
      <w:r>
        <w:rPr>
          <w:b/>
        </w:rPr>
        <w:t>kvinnan¹</w:t>
      </w:r>
      <w:r>
        <w:rPr>
          <w:b w:val="0"/>
        </w:rPr>
        <w:t xml:space="preserve"> kommunal och politisk rösträtt, vill jag blott påpeka gent emot honom, att hvad särskildt den kommunala rösträtten beträffar, så är det stadgadt, att gift </w:t>
      </w:r>
      <w:r>
        <w:rPr>
          <w:b/>
        </w:rPr>
        <w:t>kvinna¹</w:t>
      </w:r>
      <w:r>
        <w:rPr>
          <w:b w:val="0"/>
        </w:rPr>
        <w:t xml:space="preserve"> skall för inkomst taxeras tillsammans med sin man, hvaraf följer, att om på annat sätt förfares, eller att gift </w:t>
      </w:r>
      <w:r>
        <w:rPr>
          <w:b/>
        </w:rPr>
        <w:t>kvinna¹</w:t>
      </w:r>
      <w:r>
        <w:rPr>
          <w:b w:val="0"/>
        </w:rPr>
        <w:t xml:space="preserve"> påföres särskild bevillning, så sker detta i strid med gällande bevillningsförordning. Det är alltså omöjligt att på den vägen nå fram till kommunal rösträtt för gift </w:t>
      </w:r>
      <w:r>
        <w:rPr>
          <w:b/>
        </w:rPr>
        <w:t>kvinna¹</w:t>
      </w:r>
      <w:r>
        <w:rPr>
          <w:b w:val="0"/>
        </w:rPr>
        <w:t xml:space="preserve">, enär därtill fordras, att </w:t>
      </w:r>
      <w:r>
        <w:rPr>
          <w:b/>
        </w:rPr>
        <w:t>hon²</w:t>
      </w:r>
      <w:r>
        <w:rPr>
          <w:b w:val="0"/>
        </w:rPr>
        <w:t xml:space="preserve"> skall vara påförd särskild bevillning. Denna fråga har sålunda ej heller något samband med den andra frågan, utan den kräfver sin lösning på ett helt annat sätt. Oaktadt mina sympatier visserligen gå vida utöfver hvad jag nu haft äran yttra, torde dock klokheten fordra, att man här först tager ett steg, som kan vara ägnadt att bringa reda och klarhet i denna oklara fråga, och jag får därför hemställa, att kammaren måtte bifalla utskottets skrifvelseförslag.</w:t>
      </w:r>
    </w:p>
    <w:p>
      <w:pPr>
        <w:pStyle w:val="Heading2"/>
      </w:pPr>
      <w:r>
        <w:t>6. Robert Dickson (Första kammarens minoritetsparti, man)</w:t>
      </w:r>
    </w:p>
    <w:p>
      <w:r>
        <w:rPr>
          <w:b w:val="0"/>
        </w:rPr>
        <w:t>Då det yttrats ganska vidt gående åsikter i afseende å den föreliggande frågan, anhåller jag att få upptaga några af dem till bemötande.</w:t>
        <w:br/>
        <w:br/>
        <w:t xml:space="preserve">Inom äktenskapet finnes, såsom bekant, dels gemensam och dels enskild egendom, och det är väl ej meningen att härutinnan göra någon ändring. Föreskrifter om egendoms gemenskap är en bestämmelse, som måste anses vara tillkommen i </w:t>
      </w:r>
      <w:r>
        <w:rPr>
          <w:b/>
        </w:rPr>
        <w:t>hustruns²</w:t>
      </w:r>
      <w:r>
        <w:rPr>
          <w:b w:val="0"/>
        </w:rPr>
        <w:t xml:space="preserve"> intresse, då </w:t>
      </w:r>
      <w:r>
        <w:rPr>
          <w:b/>
        </w:rPr>
        <w:t>hon²</w:t>
      </w:r>
      <w:r>
        <w:rPr>
          <w:b w:val="0"/>
        </w:rPr>
        <w:t xml:space="preserve"> därigenom får del i hvad som förvärfvas af mannen. Och finnes nu gemensam egendom, bör väl äfven denna gemensamma egendom lyda under gemensam förvaltning, och det vore väl ej att tillråda, att både mannen och </w:t>
      </w:r>
      <w:r>
        <w:rPr>
          <w:b/>
        </w:rPr>
        <w:t>hustrun²</w:t>
      </w:r>
      <w:r>
        <w:rPr>
          <w:b w:val="0"/>
        </w:rPr>
        <w:t xml:space="preserve"> på en gång hade denna förvaltning om hand. En sådan anordning tror jag lätteligen skulle sätta egendomen i fara och vara till föga gagn, och man kunde ej gärna vänta sig någon reda och ordning inom en dylik förvaltning. </w:t>
      </w:r>
      <w:r>
        <w:rPr>
          <w:b/>
        </w:rPr>
        <w:t>Hustrun²</w:t>
      </w:r>
      <w:r>
        <w:rPr>
          <w:b w:val="0"/>
        </w:rPr>
        <w:t xml:space="preserve"> har emellertid möjlighet att genom äktenskapsförord förvara åt sig rätt att själf råda öfver sin enskilda egendom, öfver hvilken </w:t>
      </w:r>
      <w:r>
        <w:rPr>
          <w:b/>
        </w:rPr>
        <w:t>hon²</w:t>
      </w:r>
      <w:r>
        <w:rPr>
          <w:b w:val="0"/>
        </w:rPr>
        <w:t xml:space="preserve"> jämväl äger förvaltningsrätten och som </w:t>
      </w:r>
      <w:r>
        <w:rPr>
          <w:b/>
        </w:rPr>
        <w:t>hon²</w:t>
      </w:r>
      <w:r>
        <w:rPr>
          <w:b w:val="0"/>
        </w:rPr>
        <w:t xml:space="preserve"> också, om </w:t>
      </w:r>
      <w:r>
        <w:rPr>
          <w:b/>
        </w:rPr>
        <w:t>hon²</w:t>
      </w:r>
      <w:r>
        <w:rPr>
          <w:b w:val="0"/>
        </w:rPr>
        <w:t xml:space="preserve"> så behagar, kan låta inteckna. Äfvenledes har </w:t>
      </w:r>
      <w:r>
        <w:rPr>
          <w:b/>
        </w:rPr>
        <w:t>hon²</w:t>
      </w:r>
      <w:r>
        <w:rPr>
          <w:b w:val="0"/>
        </w:rPr>
        <w:t xml:space="preserve"> laglig rätt att råda öfver egendom, som </w:t>
      </w:r>
      <w:r>
        <w:rPr>
          <w:b/>
        </w:rPr>
        <w:t>hon²</w:t>
      </w:r>
      <w:r>
        <w:rPr>
          <w:b w:val="0"/>
        </w:rPr>
        <w:t xml:space="preserve"> själf förvärfvat. </w:t>
      </w:r>
      <w:r>
        <w:rPr>
          <w:b/>
        </w:rPr>
        <w:t>Hustrun²</w:t>
      </w:r>
      <w:r>
        <w:rPr>
          <w:b w:val="0"/>
        </w:rPr>
        <w:t xml:space="preserve"> kan ock göra gäld, hvari-</w:t>
        <w:br/>
        <w:br/>
        <w:t xml:space="preserve">genom </w:t>
      </w:r>
      <w:r>
        <w:rPr>
          <w:b/>
        </w:rPr>
        <w:t>hon²</w:t>
      </w:r>
      <w:r>
        <w:rPr>
          <w:b w:val="0"/>
        </w:rPr>
        <w:t xml:space="preserve"> binder den egendom, öfver hvilken </w:t>
      </w:r>
      <w:r>
        <w:rPr>
          <w:b/>
        </w:rPr>
        <w:t>hon²</w:t>
      </w:r>
      <w:r>
        <w:rPr>
          <w:b w:val="0"/>
        </w:rPr>
        <w:t xml:space="preserve"> råder, och </w:t>
      </w:r>
      <w:r>
        <w:rPr>
          <w:b/>
        </w:rPr>
        <w:t>hon²</w:t>
      </w:r>
      <w:r>
        <w:rPr>
          <w:b w:val="0"/>
        </w:rPr>
        <w:t xml:space="preserve"> kan rörande sådan egendom och gäld själf föra talan. Men den, som sålunda kan ingå gäld och föra talan, är naturligtvis myndig, om också myndigheten i vissa andra hänseenden kan vara inskränkt. Att nu denna för </w:t>
      </w:r>
      <w:r>
        <w:rPr>
          <w:b/>
        </w:rPr>
        <w:t>hustrun²</w:t>
      </w:r>
      <w:r>
        <w:rPr>
          <w:b w:val="0"/>
        </w:rPr>
        <w:t xml:space="preserve"> blifvit genom äktenskapet i viss mån begränsad, är ju naturligt. Då </w:t>
      </w:r>
      <w:r>
        <w:rPr>
          <w:b/>
        </w:rPr>
        <w:t>kvinnan¹</w:t>
      </w:r>
      <w:r>
        <w:rPr>
          <w:b w:val="0"/>
        </w:rPr>
        <w:t xml:space="preserve"> gifter sig, måste </w:t>
      </w:r>
      <w:r>
        <w:rPr>
          <w:b/>
        </w:rPr>
        <w:t>hon²</w:t>
      </w:r>
      <w:r>
        <w:rPr>
          <w:b w:val="0"/>
        </w:rPr>
        <w:t xml:space="preserve"> ju t. ex. afstå från sitt namn och antaga mannens, hvars stånd och villkor </w:t>
      </w:r>
      <w:r>
        <w:rPr>
          <w:b/>
        </w:rPr>
        <w:t>hon²</w:t>
      </w:r>
      <w:r>
        <w:rPr>
          <w:b w:val="0"/>
        </w:rPr>
        <w:t xml:space="preserve"> måste följa. Därutinnan har väl ingen ifrågasatt någon ändring. Vidare följer ju af äktenskapets ingående, att makarna skola hafva gemensam bostad och att någon af dem skall bestämma, hvar de åtminstone lagligen hafva sin boplats, och detta bör väl vara öfverlämnadt åt mannen. Men stort längre går väl knappt mannens målsmansrätt enligt gällande lag, undantagandes att mannen i tvifvelaktiga fall kan få föra talan utan fullmakt af </w:t>
      </w:r>
      <w:r>
        <w:rPr>
          <w:b/>
        </w:rPr>
        <w:t>hustrun²</w:t>
      </w:r>
      <w:r>
        <w:rPr>
          <w:b w:val="0"/>
        </w:rPr>
        <w:t xml:space="preserve">, men däruti ligger ju ej något för </w:t>
      </w:r>
      <w:r>
        <w:rPr>
          <w:b/>
        </w:rPr>
        <w:t>hustrun²</w:t>
      </w:r>
      <w:r>
        <w:rPr>
          <w:b w:val="0"/>
        </w:rPr>
        <w:t xml:space="preserve"> ofördelaktigt.</w:t>
        <w:br/>
        <w:br/>
        <w:t xml:space="preserve">Hvad nu angår </w:t>
      </w:r>
      <w:r>
        <w:rPr>
          <w:b/>
        </w:rPr>
        <w:t>hustruns²</w:t>
      </w:r>
      <w:r>
        <w:rPr>
          <w:b w:val="0"/>
        </w:rPr>
        <w:t xml:space="preserve"> förvaltningsrätt öfver </w:t>
      </w:r>
      <w:r>
        <w:rPr>
          <w:b/>
        </w:rPr>
        <w:t>henne²</w:t>
      </w:r>
      <w:r>
        <w:rPr>
          <w:b w:val="0"/>
        </w:rPr>
        <w:t xml:space="preserve"> enskildt tillhörig egendom, så vill jag mot herr Leman anmärka, att gift </w:t>
      </w:r>
      <w:r>
        <w:rPr>
          <w:b/>
        </w:rPr>
        <w:t>kvinna¹</w:t>
      </w:r>
      <w:r>
        <w:rPr>
          <w:b w:val="0"/>
        </w:rPr>
        <w:t xml:space="preserve">, som själf förvaltar sin fasta egendom, är äfven för densamma bevillningstaxerad och kan sålunda äfven tala och rösta därför, hvilket förhållande ju äfven i viss mån vittnar om den myndighet </w:t>
      </w:r>
      <w:r>
        <w:rPr>
          <w:b/>
        </w:rPr>
        <w:t>hon²</w:t>
      </w:r>
      <w:r>
        <w:rPr>
          <w:b w:val="0"/>
        </w:rPr>
        <w:t xml:space="preserve"> kan äga.</w:t>
        <w:br/>
        <w:br/>
        <w:t>För öfrigt ansluter jag mig i hufvudsak till den uppfattning, herr Trygger uttalat, och jag tror icke, att man nu med fördel skulle kunna genomföra några förändringar uti lagens stadganden i 9 kap. giftermålsbalken.</w:t>
        <w:br/>
        <w:br/>
        <w:t xml:space="preserve">Jag vill nu mot lagutskottets andra skäl äfven yttra några ord. Det talas om att </w:t>
      </w:r>
      <w:r>
        <w:rPr>
          <w:b/>
        </w:rPr>
        <w:t>hustru²</w:t>
      </w:r>
      <w:r>
        <w:rPr>
          <w:b w:val="0"/>
        </w:rPr>
        <w:t xml:space="preserve">, som lefver i äktenskap med sin man, ej får idka näring, med mindre mannen därtill lämnar sitt medgifvande och ikläder sig ansvar för </w:t>
      </w:r>
      <w:r>
        <w:rPr>
          <w:b/>
        </w:rPr>
        <w:t>hustruns²</w:t>
      </w:r>
      <w:r>
        <w:rPr>
          <w:b w:val="0"/>
        </w:rPr>
        <w:t xml:space="preserve"> förbindelser. Jag hoppas, att man ej har för afsikt att härutinnan få någon förändring. Ty om tvenne makar lefva tillsammans och </w:t>
      </w:r>
      <w:r>
        <w:rPr>
          <w:b/>
        </w:rPr>
        <w:t>hustrun²</w:t>
      </w:r>
      <w:r>
        <w:rPr>
          <w:b w:val="0"/>
        </w:rPr>
        <w:t xml:space="preserve"> önskar att ensam drifva handel eller idka någon näring, utan att mannen ikläder sig ansvar för de förbindelser </w:t>
      </w:r>
      <w:r>
        <w:rPr>
          <w:b/>
        </w:rPr>
        <w:t>hon²</w:t>
      </w:r>
      <w:r>
        <w:rPr>
          <w:b w:val="0"/>
        </w:rPr>
        <w:t xml:space="preserve"> därvid ingår, leder sådant lätt till det största skoj. Räkningar utfärdas t. ex. å </w:t>
      </w:r>
      <w:r>
        <w:rPr>
          <w:b/>
        </w:rPr>
        <w:t>hustrun²</w:t>
      </w:r>
      <w:r>
        <w:rPr>
          <w:b w:val="0"/>
        </w:rPr>
        <w:t xml:space="preserve"> för levererade varor. De blifva ej guldna, och när leverantörerna eller fordringsägarne påkalla likvid af mannen, så saknar denne all kunskap om gälden och vägrar att ur egendomen, som är gemensam och står under hans förvaltning, betala räkningarna — och där stå nu leverantörerna utan likvid. Jag tror ej det vore skäl att härvidlag vidtaga några ändringar i gällande bestämmelser.</w:t>
        <w:br/>
        <w:br/>
        <w:t>På grund af hvad jag nu anfört och andra talare före mig, anhåller jag att få yrka afslag å utskottets hemställan.</w:t>
      </w:r>
    </w:p>
    <w:p>
      <w:pPr>
        <w:pStyle w:val="Heading2"/>
      </w:pPr>
      <w:r>
        <w:t>7. Lars Berg (Första kammarens protektionistiska parti, man)</w:t>
      </w:r>
    </w:p>
    <w:p>
      <w:r>
        <w:rPr>
          <w:b w:val="0"/>
        </w:rPr>
        <w:t>Det kan icke vara min afsikt att nu försöka ingå i någon saklig utredning af denna fråga, hvartill jag</w:t>
        <w:br/>
        <w:br/>
        <w:t>saknar nödiga fackinsikter, men med anledning af hvad som här Om revision</w:t>
        <w:br/>
        <w:br/>
        <w:t>yttrats har jag velat och ansett mig pliktig att säga några ord. Frågan är nämligen icke endast en juridisk fråga, utan ännu mer en social och en etisk.</w:t>
        <w:br/>
        <w:br/>
        <w:t xml:space="preserve">Den gifta </w:t>
      </w:r>
      <w:r>
        <w:rPr>
          <w:b/>
        </w:rPr>
        <w:t>kvinnans¹</w:t>
      </w:r>
      <w:r>
        <w:rPr>
          <w:b w:val="0"/>
        </w:rPr>
        <w:t xml:space="preserve"> ställning sammanhänger så nära såväl liga ställning.</w:t>
        <w:br/>
        <w:br/>
        <w:t>med statens som med familjens och barnens intressen, att hvarje folkrepresentant, som skall deltaga i lagstiftningen härom, måste känna sig förpliktigad att uttala sin mening, i synnerhet om han såsom jag har en motsatt mening emot den lagutskottet har uttalat, en mening, som säkerligen endast delas af en minoritet inom denna kammare.</w:t>
        <w:br/>
        <w:br/>
        <w:t xml:space="preserve">Här har med rätta framhållits, att den största tvekan och olikhet i åsikter råder om hvad lagen stadgar, om svensk gift </w:t>
      </w:r>
      <w:r>
        <w:rPr>
          <w:b/>
        </w:rPr>
        <w:t>kvinna¹</w:t>
      </w:r>
      <w:r>
        <w:rPr>
          <w:b w:val="0"/>
        </w:rPr>
        <w:t xml:space="preserve"> är omyndig eller myndig. Utskottet säger, att bland de rättslärde råder en allmän mening därom, att </w:t>
      </w:r>
      <w:r>
        <w:rPr>
          <w:b/>
        </w:rPr>
        <w:t>kvinnan¹</w:t>
      </w:r>
      <w:r>
        <w:rPr>
          <w:b w:val="0"/>
        </w:rPr>
        <w:t xml:space="preserve"> blir i, med och under äktenskapet myndig, ehuru utöfningen därutaf är inskränkt, så länge mannen lefver, och att detta klarligen bevisas därutaf, att, så fort äktenskapet upplöses, </w:t>
      </w:r>
      <w:r>
        <w:rPr>
          <w:b/>
        </w:rPr>
        <w:t>hon²</w:t>
      </w:r>
      <w:r>
        <w:rPr>
          <w:b w:val="0"/>
        </w:rPr>
        <w:t xml:space="preserve"> inträder i sin fulla myndighets rättigheter. Detta är för mig en juridisk paradox, som ju kunde vara intressant, om man icke visste, att en gift </w:t>
      </w:r>
      <w:r>
        <w:rPr>
          <w:b/>
        </w:rPr>
        <w:t>kvinna¹</w:t>
      </w:r>
      <w:r>
        <w:rPr>
          <w:b w:val="0"/>
        </w:rPr>
        <w:t xml:space="preserve"> förlorar det mesta af en myndig människas själfständighet, så fort </w:t>
      </w:r>
      <w:r>
        <w:rPr>
          <w:b/>
        </w:rPr>
        <w:t>hon²</w:t>
      </w:r>
      <w:r>
        <w:rPr>
          <w:b w:val="0"/>
        </w:rPr>
        <w:t xml:space="preserve"> inträder i äktenskap, och så länge </w:t>
      </w:r>
      <w:r>
        <w:rPr>
          <w:b/>
        </w:rPr>
        <w:t>hon²</w:t>
      </w:r>
      <w:r>
        <w:rPr>
          <w:b w:val="0"/>
        </w:rPr>
        <w:t xml:space="preserve"> lefver, såvida </w:t>
      </w:r>
      <w:r>
        <w:rPr>
          <w:b/>
        </w:rPr>
        <w:t>hon²</w:t>
      </w:r>
      <w:r>
        <w:rPr>
          <w:b w:val="0"/>
        </w:rPr>
        <w:t xml:space="preserve"> icke blir </w:t>
      </w:r>
      <w:r>
        <w:rPr>
          <w:b/>
        </w:rPr>
        <w:t>änka²</w:t>
      </w:r>
      <w:r>
        <w:rPr>
          <w:b w:val="0"/>
        </w:rPr>
        <w:t xml:space="preserve">, då </w:t>
      </w:r>
      <w:r>
        <w:rPr>
          <w:b/>
        </w:rPr>
        <w:t>hon²</w:t>
      </w:r>
      <w:r>
        <w:rPr>
          <w:b w:val="0"/>
        </w:rPr>
        <w:t xml:space="preserve"> återfår de rättigheter, som </w:t>
      </w:r>
      <w:r>
        <w:rPr>
          <w:b/>
        </w:rPr>
        <w:t>hon²</w:t>
      </w:r>
      <w:r>
        <w:rPr>
          <w:b w:val="0"/>
        </w:rPr>
        <w:t xml:space="preserve"> förlorade genom att inträda i äktenskapet.</w:t>
        <w:br/>
        <w:br/>
        <w:t xml:space="preserve">En ärad talare har nyss yttrat, att den gifta </w:t>
      </w:r>
      <w:r>
        <w:rPr>
          <w:b/>
        </w:rPr>
        <w:t>kvinnan¹</w:t>
      </w:r>
      <w:r>
        <w:rPr>
          <w:b w:val="0"/>
        </w:rPr>
        <w:t xml:space="preserve"> icke vore i något större behof af full myndighet, då </w:t>
      </w:r>
      <w:r>
        <w:rPr>
          <w:b/>
        </w:rPr>
        <w:t>hon²</w:t>
      </w:r>
      <w:r>
        <w:rPr>
          <w:b w:val="0"/>
        </w:rPr>
        <w:t xml:space="preserve"> i många fall hade en hel del rättigheter, nota bene att </w:t>
      </w:r>
      <w:r>
        <w:rPr>
          <w:b/>
        </w:rPr>
        <w:t>hon²</w:t>
      </w:r>
      <w:r>
        <w:rPr>
          <w:b w:val="0"/>
        </w:rPr>
        <w:t xml:space="preserve"> under juridiska formaliteter lyckades få sig dem tillförsäkrade enligt 1898 års lag, men häremot är att märka, att dessa formaliteter dock icke äro kända för större delen af vårt folk. Det förhåller sig nämligen så, att hela denna fråga är så invecklad, att pluraliteten af folket icke känner till den, och det är därför som det kan vara skäl att med några ord påminna om, att om än många jurister äro eniga om, att svensk lag i princip förklarar den gifta </w:t>
      </w:r>
      <w:r>
        <w:rPr>
          <w:b/>
        </w:rPr>
        <w:t>kvinnan¹</w:t>
      </w:r>
      <w:r>
        <w:rPr>
          <w:b w:val="0"/>
        </w:rPr>
        <w:t xml:space="preserve"> myndig, och ehuruväl lagutskottet och herr Hasselrot påstå, att </w:t>
      </w:r>
      <w:r>
        <w:rPr>
          <w:b/>
        </w:rPr>
        <w:t>hon²</w:t>
      </w:r>
      <w:r>
        <w:rPr>
          <w:b w:val="0"/>
        </w:rPr>
        <w:t xml:space="preserve"> i de flesta hänseenden i teorien är en myndig medborgare, så förhåller det sig i verkligheten alldeles tvärtom så, att </w:t>
      </w:r>
      <w:r>
        <w:rPr>
          <w:b/>
        </w:rPr>
        <w:t>hon²</w:t>
      </w:r>
      <w:r>
        <w:rPr>
          <w:b w:val="0"/>
        </w:rPr>
        <w:t xml:space="preserve"> enligt lag icke har rätt att förfoga öfver sin egen förmögenhet; </w:t>
      </w:r>
      <w:r>
        <w:rPr>
          <w:b/>
        </w:rPr>
        <w:t>hon²</w:t>
      </w:r>
      <w:r>
        <w:rPr>
          <w:b w:val="0"/>
        </w:rPr>
        <w:t xml:space="preserve"> har icke behörighet att mottaga uppdrag och sysslor, ledamotskap uti styrelser och kommunala föreningar eller förvaltningar.</w:t>
        <w:br/>
        <w:br/>
        <w:t xml:space="preserve">Det blefve för långt att uppräkna alla inskränkningar i den gifta </w:t>
      </w:r>
      <w:r>
        <w:rPr>
          <w:b/>
        </w:rPr>
        <w:t>kvinnans¹</w:t>
      </w:r>
      <w:r>
        <w:rPr>
          <w:b w:val="0"/>
        </w:rPr>
        <w:t xml:space="preserve"> själfständighet, men de svåraste, som lederar mitt samvete mest, må jag nämna: </w:t>
      </w:r>
      <w:r>
        <w:rPr>
          <w:b/>
        </w:rPr>
        <w:t>hon²</w:t>
      </w:r>
      <w:r>
        <w:rPr>
          <w:b w:val="0"/>
        </w:rPr>
        <w:t xml:space="preserve"> får ej ingå aftal eller rättsliga förbindelser, icke tala eller svara i egen sak, </w:t>
      </w:r>
      <w:r>
        <w:rPr>
          <w:b/>
        </w:rPr>
        <w:t>hon²</w:t>
      </w:r>
      <w:r>
        <w:rPr>
          <w:b w:val="0"/>
        </w:rPr>
        <w:t xml:space="preserve"> står under mannens husbondevälde, och därmed är </w:t>
      </w:r>
      <w:r>
        <w:rPr>
          <w:b/>
        </w:rPr>
        <w:t>hon²</w:t>
      </w:r>
      <w:r>
        <w:rPr>
          <w:b w:val="0"/>
        </w:rPr>
        <w:t xml:space="preserve"> viljelös, trälbunden i allt, som rör makarnas samlif. Hvad finns då kvar af hand-</w:t>
        <w:br/>
        <w:br/>
        <w:t xml:space="preserve">lingsfrihet och myndighet? Teorier och fraser. </w:t>
      </w:r>
      <w:r>
        <w:rPr>
          <w:b/>
        </w:rPr>
        <w:t>Hon²</w:t>
      </w:r>
      <w:r>
        <w:rPr>
          <w:b w:val="0"/>
        </w:rPr>
        <w:t xml:space="preserve"> har icke heller rätt att bestämma sin vistelseort! En högjuridisk talare sade, att det vore högst orimligt, om </w:t>
      </w:r>
      <w:r>
        <w:rPr>
          <w:b/>
        </w:rPr>
        <w:t>kvinnan¹</w:t>
      </w:r>
      <w:r>
        <w:rPr>
          <w:b w:val="0"/>
        </w:rPr>
        <w:t xml:space="preserve"> skulle få välja sin vistelseort och bestämma hvar </w:t>
      </w:r>
      <w:r>
        <w:rPr>
          <w:b/>
        </w:rPr>
        <w:t>hon²</w:t>
      </w:r>
      <w:r>
        <w:rPr>
          <w:b w:val="0"/>
        </w:rPr>
        <w:t xml:space="preserve"> skulle uppehålla sig, om </w:t>
      </w:r>
      <w:r>
        <w:rPr>
          <w:b/>
        </w:rPr>
        <w:t>hon²</w:t>
      </w:r>
      <w:r>
        <w:rPr>
          <w:b w:val="0"/>
        </w:rPr>
        <w:t xml:space="preserve"> skall få bo i Malmö, då mannen bodde i Göteborg. Ja, det må nu vara, men så farligt torde saken icke ställa sig, ty </w:t>
      </w:r>
      <w:r>
        <w:rPr>
          <w:b/>
        </w:rPr>
        <w:t>hon²</w:t>
      </w:r>
      <w:r>
        <w:rPr>
          <w:b w:val="0"/>
        </w:rPr>
        <w:t xml:space="preserve"> förlöper dock icke hemmet så ofta, som mannen gör, särskildt i de lägre folklagren. Skall det vara så, att mannen har rätt att förbjuda </w:t>
      </w:r>
      <w:r>
        <w:rPr>
          <w:b/>
        </w:rPr>
        <w:t>hustrun²</w:t>
      </w:r>
      <w:r>
        <w:rPr>
          <w:b w:val="0"/>
        </w:rPr>
        <w:t xml:space="preserve"> att välja annan vistelseort, vill jag framhålla såsom den enklaste rättvisa, att äfven </w:t>
      </w:r>
      <w:r>
        <w:rPr>
          <w:b/>
        </w:rPr>
        <w:t>hustrun²</w:t>
      </w:r>
      <w:r>
        <w:rPr>
          <w:b w:val="0"/>
        </w:rPr>
        <w:t xml:space="preserve"> får rätt att förbjuda sin förlupne man att välja en annan vistelseort, än deras gemensamma bostad, denna må nu kallas mantalsskrifningsort eller annat.</w:t>
        <w:br/>
        <w:br/>
        <w:t xml:space="preserve">Den gifta </w:t>
      </w:r>
      <w:r>
        <w:rPr>
          <w:b/>
        </w:rPr>
        <w:t>hustrun²</w:t>
      </w:r>
      <w:r>
        <w:rPr>
          <w:b w:val="0"/>
        </w:rPr>
        <w:t xml:space="preserve"> får icke heller, som den siste ärade talaren framhöll, drifva näring och yrke utan mannens medgifvande och borgen, och det tyckte han vara obestridligen rättvist och synnerligt samhällsbevarande. Det skulle således vara rätt och billigt, att en </w:t>
      </w:r>
      <w:r>
        <w:rPr>
          <w:b/>
        </w:rPr>
        <w:t>kvinna¹</w:t>
      </w:r>
      <w:r>
        <w:rPr>
          <w:b w:val="0"/>
        </w:rPr>
        <w:t xml:space="preserve"> med en försupen, halfidiotisk man, som icke lämnar ett öre till hemmet, skall vara beröfvad rättighet att bidraga till sitt och sina barns underhåll, fastän </w:t>
      </w:r>
      <w:r>
        <w:rPr>
          <w:b/>
        </w:rPr>
        <w:t>hon²</w:t>
      </w:r>
      <w:r>
        <w:rPr>
          <w:b w:val="0"/>
        </w:rPr>
        <w:t xml:space="preserve"> eljest därtill är skicklig och förmögen. Nej, det får </w:t>
      </w:r>
      <w:r>
        <w:rPr>
          <w:b/>
        </w:rPr>
        <w:t>hon²</w:t>
      </w:r>
      <w:r>
        <w:rPr>
          <w:b w:val="0"/>
        </w:rPr>
        <w:t xml:space="preserve"> nu icke, och detta skulle vara högsta rätt!</w:t>
        <w:br/>
        <w:br/>
        <w:t xml:space="preserve">Enligt 1898 års lag har verkligen, såsom ofvan berördes, den svenska gifta </w:t>
      </w:r>
      <w:r>
        <w:rPr>
          <w:b/>
        </w:rPr>
        <w:t>kvinnan¹</w:t>
      </w:r>
      <w:r>
        <w:rPr>
          <w:b w:val="0"/>
        </w:rPr>
        <w:t xml:space="preserve"> myndighet, för så vidt vissa formaliteter blifvit iakttagna i äktenskapsförord, uti arf eller testamente, som särskildt förbjuda mannen att taga befattning med </w:t>
      </w:r>
      <w:r>
        <w:rPr>
          <w:b/>
        </w:rPr>
        <w:t>hennes²</w:t>
      </w:r>
      <w:r>
        <w:rPr>
          <w:b w:val="0"/>
        </w:rPr>
        <w:t xml:space="preserve"> egendom, hvilken </w:t>
      </w:r>
      <w:r>
        <w:rPr>
          <w:b/>
        </w:rPr>
        <w:t>hon²</w:t>
      </w:r>
      <w:r>
        <w:rPr>
          <w:b w:val="0"/>
        </w:rPr>
        <w:t xml:space="preserve"> således äger själf förvalta.</w:t>
        <w:br/>
        <w:br/>
        <w:t xml:space="preserve">Det sades också af en hög jurist nyss, att </w:t>
      </w:r>
      <w:r>
        <w:rPr>
          <w:b/>
        </w:rPr>
        <w:t>hon²</w:t>
      </w:r>
      <w:r>
        <w:rPr>
          <w:b w:val="0"/>
        </w:rPr>
        <w:t xml:space="preserve"> utan alla dessa formaliteter i ett enda fall är en myndig medborgare utan förbehåll och formaliteter, nämligen därutinnan — tänk hvilka stolta rättigheter — att </w:t>
      </w:r>
      <w:r>
        <w:rPr>
          <w:b/>
        </w:rPr>
        <w:t>hon²</w:t>
      </w:r>
      <w:r>
        <w:rPr>
          <w:b w:val="0"/>
        </w:rPr>
        <w:t xml:space="preserve"> får suveränt disponera öfver sin inkomst af eget arbete.</w:t>
        <w:br/>
        <w:br/>
        <w:t xml:space="preserve">Detta är sant, ehuru med en betänklig inskränkning. Om man ser denna bestämmelse i sömmarne, kommer man till klarhet därom, att därest </w:t>
      </w:r>
      <w:r>
        <w:rPr>
          <w:b/>
        </w:rPr>
        <w:t>hon²</w:t>
      </w:r>
      <w:r>
        <w:rPr>
          <w:b w:val="0"/>
        </w:rPr>
        <w:t xml:space="preserve"> förvandlar sin förtjänst till bohag, eller om </w:t>
      </w:r>
      <w:r>
        <w:rPr>
          <w:b/>
        </w:rPr>
        <w:t>hon²</w:t>
      </w:r>
      <w:r>
        <w:rPr>
          <w:b w:val="0"/>
        </w:rPr>
        <w:t xml:space="preserve"> därför köper föda och kläder till sina barn, mannen kan komma och förvandla dem till brännvin på krogen. Hvad </w:t>
      </w:r>
      <w:r>
        <w:rPr>
          <w:b/>
        </w:rPr>
        <w:t>hon²</w:t>
      </w:r>
      <w:r>
        <w:rPr>
          <w:b w:val="0"/>
        </w:rPr>
        <w:t xml:space="preserve"> genom eget arbete förvärfvat är således icke </w:t>
      </w:r>
      <w:r>
        <w:rPr>
          <w:b/>
        </w:rPr>
        <w:t>hennes²</w:t>
      </w:r>
      <w:r>
        <w:rPr>
          <w:b w:val="0"/>
        </w:rPr>
        <w:t xml:space="preserve"> längre, än </w:t>
      </w:r>
      <w:r>
        <w:rPr>
          <w:b/>
        </w:rPr>
        <w:t>hon²</w:t>
      </w:r>
      <w:r>
        <w:rPr>
          <w:b w:val="0"/>
        </w:rPr>
        <w:t xml:space="preserve"> håller de kontanta medlen i sin hand.</w:t>
        <w:br/>
        <w:br/>
        <w:t xml:space="preserve">Trots alla dessa oftaberörda juridiska teorier kan man således icke — åtminstone då man icke har den äran att höra till fackmännen — påstå, att svensk lag väl skyddar svensk gift </w:t>
      </w:r>
      <w:r>
        <w:rPr>
          <w:b/>
        </w:rPr>
        <w:t>kvinnas¹</w:t>
      </w:r>
      <w:r>
        <w:rPr>
          <w:b w:val="0"/>
        </w:rPr>
        <w:t xml:space="preserve"> personlighet och människovärde. Den ställer </w:t>
      </w:r>
      <w:r>
        <w:rPr>
          <w:b/>
        </w:rPr>
        <w:t>henne²</w:t>
      </w:r>
      <w:r>
        <w:rPr>
          <w:b w:val="0"/>
        </w:rPr>
        <w:t xml:space="preserve"> utan handlingsfrihet på ett lägre plan än andra medborgare, i ett underdånighetsförhållande, och man måste, då man inser detta, fråga sig: Är det förenligt med rättvisa, är det rimligt, att våra egna </w:t>
      </w:r>
      <w:r>
        <w:rPr>
          <w:b/>
        </w:rPr>
        <w:t>mödrar²</w:t>
      </w:r>
      <w:r>
        <w:rPr>
          <w:b w:val="0"/>
        </w:rPr>
        <w:t xml:space="preserve"> och </w:t>
      </w:r>
      <w:r>
        <w:rPr>
          <w:b/>
        </w:rPr>
        <w:t>hustrur²</w:t>
      </w:r>
      <w:r>
        <w:rPr>
          <w:b w:val="0"/>
        </w:rPr>
        <w:t xml:space="preserve"> skola förlora sin myndighet i äkten-</w:t>
        <w:br/>
        <w:br/>
        <w:t>skapet, och att de skola ställas i en osjälfständigare och mera Om revision</w:t>
        <w:br/>
        <w:br/>
        <w:t xml:space="preserve">beroende ställning än deras </w:t>
      </w:r>
      <w:r>
        <w:rPr>
          <w:b/>
        </w:rPr>
        <w:t>kvinnliga¹</w:t>
      </w:r>
      <w:r>
        <w:rPr>
          <w:b w:val="0"/>
        </w:rPr>
        <w:t xml:space="preserve"> </w:t>
      </w:r>
      <w:r>
        <w:rPr>
          <w:b/>
        </w:rPr>
        <w:t>tjänarinnor³</w:t>
      </w:r>
      <w:r>
        <w:rPr>
          <w:b w:val="0"/>
        </w:rPr>
        <w:t xml:space="preserve"> och deras till myndiga år komna </w:t>
      </w:r>
      <w:r>
        <w:rPr>
          <w:b/>
        </w:rPr>
        <w:t>döttrar²</w:t>
      </w:r>
      <w:r>
        <w:rPr>
          <w:b w:val="0"/>
        </w:rPr>
        <w:t>? Ar det klokt och är det nyttigt för</w:t>
        <w:br/>
        <w:br/>
        <w:t xml:space="preserve">samhället, att lagen beröfvar hvarje gift </w:t>
      </w:r>
      <w:r>
        <w:rPr>
          <w:b/>
        </w:rPr>
        <w:t>kvinna¹</w:t>
      </w:r>
      <w:r>
        <w:rPr>
          <w:b w:val="0"/>
        </w:rPr>
        <w:t xml:space="preserve"> — äfven de </w:t>
      </w:r>
      <w:r>
        <w:rPr>
          <w:b/>
        </w:rPr>
        <w:t>hustrus²</w:t>
      </w:r>
      <w:r>
        <w:rPr>
          <w:b w:val="0"/>
        </w:rPr>
        <w:t xml:space="preserve"> rättsädlaste, bästa och rikaste — </w:t>
      </w:r>
      <w:r>
        <w:rPr>
          <w:b/>
        </w:rPr>
        <w:t>hennes²</w:t>
      </w:r>
      <w:r>
        <w:rPr>
          <w:b w:val="0"/>
        </w:rPr>
        <w:t xml:space="preserve"> handlingsfrihet, </w:t>
      </w:r>
      <w:r>
        <w:rPr>
          <w:b/>
        </w:rPr>
        <w:t>hennes²</w:t>
      </w:r>
      <w:r>
        <w:rPr>
          <w:b w:val="0"/>
        </w:rPr>
        <w:t xml:space="preserve"> förut liga ställning.</w:t>
        <w:br/>
        <w:br/>
        <w:t xml:space="preserve">väl och utmärkt utöfvade myndighet, att man liksom straffar </w:t>
      </w:r>
      <w:r>
        <w:rPr>
          <w:b/>
        </w:rPr>
        <w:t>henne²</w:t>
      </w:r>
      <w:r>
        <w:rPr>
          <w:b w:val="0"/>
        </w:rPr>
        <w:t xml:space="preserve"> för det steg </w:t>
      </w:r>
      <w:r>
        <w:rPr>
          <w:b/>
        </w:rPr>
        <w:t>hon²</w:t>
      </w:r>
      <w:r>
        <w:rPr>
          <w:b w:val="0"/>
        </w:rPr>
        <w:t xml:space="preserve"> tagit in uti äktenskapet, som är så viktigt äfven för samhället, liksom med förlusten af medborgerliga rättigheter? Om man svarar, såsom jag vill, nej på denna min fråga, då är det väl tämligen tydligt, i hvilken riktning ett förslag till förändring bör gå, oberoende af de formalistiska fiktioner och juridiska teorier, hvilka jag lämnar helt och hållet åt deras värde, men som i en sådan fråga som denna icke få vara uteslutande bestämmande ett steg längre än formen kräfver, men icke i afseende å innehållet.</w:t>
        <w:br/>
        <w:br/>
        <w:t xml:space="preserve">Denna fråga är så gammal, att det enligt min tanke till och med vidlåder oss en viss försummelse däri, att vi icke hafva löst den förr. Vi måste sålunda snart ställa våra </w:t>
      </w:r>
      <w:r>
        <w:rPr>
          <w:b/>
        </w:rPr>
        <w:t>hustrur²</w:t>
      </w:r>
      <w:r>
        <w:rPr>
          <w:b w:val="0"/>
        </w:rPr>
        <w:t xml:space="preserve"> och </w:t>
      </w:r>
      <w:r>
        <w:rPr>
          <w:b/>
        </w:rPr>
        <w:t>mödrar²</w:t>
      </w:r>
      <w:r>
        <w:rPr>
          <w:b w:val="0"/>
        </w:rPr>
        <w:t xml:space="preserve"> på samma plan som öfriga myndiga </w:t>
      </w:r>
      <w:r>
        <w:rPr>
          <w:b/>
        </w:rPr>
        <w:t>kvinnor¹</w:t>
      </w:r>
      <w:r>
        <w:rPr>
          <w:b w:val="0"/>
        </w:rPr>
        <w:t xml:space="preserve"> och göra dem någorlunda likställda med männen, och vi måste erkänna — hvilket jag för min del åtminstone gör — att den svenska gifta </w:t>
      </w:r>
      <w:r>
        <w:rPr>
          <w:b/>
        </w:rPr>
        <w:t>kvinnan¹</w:t>
      </w:r>
      <w:r>
        <w:rPr>
          <w:b w:val="0"/>
        </w:rPr>
        <w:t xml:space="preserve"> förtjänar en värdigare ställning, så att </w:t>
      </w:r>
      <w:r>
        <w:rPr>
          <w:b/>
        </w:rPr>
        <w:t>hon²</w:t>
      </w:r>
      <w:r>
        <w:rPr>
          <w:b w:val="0"/>
        </w:rPr>
        <w:t xml:space="preserve"> med den ansvarskänsla, som endast själfständigheten kan föda, förmår att fostra och väl fostra kommande generationer, på hvilkas förmåga, sans och måtta fäderneslandets frihet beror.</w:t>
        <w:br/>
        <w:br/>
        <w:t xml:space="preserve">Det kunde kanske vara skäl för mig att nu sluta, men jag kommer att tänka på ett löfte, hvars sanning historien bekräftar, att nemligen endast den människa och det folk skall det väl gå och skall länge lefva på jorden, som hedra fader och </w:t>
      </w:r>
      <w:r>
        <w:rPr>
          <w:b/>
        </w:rPr>
        <w:t>moder²</w:t>
      </w:r>
      <w:r>
        <w:rPr>
          <w:b w:val="0"/>
        </w:rPr>
        <w:t xml:space="preserve">. I den delen hafva vi såsom folk, det påstår jag, försummat och syndat mycket emot våra — emot det fria svenska folkets ännu i verkligheten omyndiga </w:t>
      </w:r>
      <w:r>
        <w:rPr>
          <w:b/>
        </w:rPr>
        <w:t>mödrar²</w:t>
      </w:r>
      <w:r>
        <w:rPr>
          <w:b w:val="0"/>
        </w:rPr>
        <w:t>. De hafva blifvit stående uti en underdånighetsställning, och det är därför på tiden, att vi emot dem skipa rättvisa.</w:t>
        <w:br/>
        <w:br/>
        <w:t xml:space="preserve">Ett sätt härför har nu af motionärerna föreslagits. ”Talrika svårigheter hafva emot deras förslag rests af fackkunskapen, men jag pekar på det faktum, att andra civiliserade folk, folk med större liflighet i känslor, med större rikedomar, där intressenas motsatser äro långt starkare, och där en dubbel myndighet i äktenskapet är farligare än hos oss, hafva dock vågat sig på att gifva den gifta </w:t>
      </w:r>
      <w:r>
        <w:rPr>
          <w:b/>
        </w:rPr>
        <w:t>kvinnan¹</w:t>
      </w:r>
      <w:r>
        <w:rPr>
          <w:b w:val="0"/>
        </w:rPr>
        <w:t xml:space="preserve"> myndighet, och erfarenheten har där visat, att äktenskapen därigenom höjas och ställningen förbättras. Här är ju icke tal om att röra vid egendomsgemenskapen eller upphäfva mannens målsmanskap, icke därför, att man anser detta vara utopier, utan därför att man anser sig böra gå försiktigt till väga, gå steg för steg i en så viktig fråga som denna. Det bör väl då icke kunna finnas några hinder</w:t>
        <w:br/>
        <w:br/>
        <w:t>Om revision eller råda någon tveksamhet om att åtminstone besluta en skrifif iftning velse till Kungl. Maj:t med begäran om en utredning och angifva IEI i hvad riktning man vill gå.</w:t>
        <w:br/>
        <w:br/>
      </w:r>
      <w:r>
        <w:rPr>
          <w:b/>
        </w:rPr>
        <w:t>hustrus²</w:t>
      </w:r>
      <w:r>
        <w:rPr>
          <w:b w:val="0"/>
        </w:rPr>
        <w:t xml:space="preserve"> rätts- Utskottet är mycket tvifvelaktigt, huruvida allt detta kan liga ställning. vara lämpligt eller lyckligt utan inskränkning. Det talas äfven (Forts.) — på ett ställe om, att det skulle strida emot äktenskapets harmoni och äktenskapets idé och allt sådant. Det har äfven anmärkts i handlingarna, att äktenskapet är ett slags bolagsförhållande, men i ett bolag är väl ändå ingen ensam bestämmande, i ett bolag finnes väl icke en enda despotisk vilja, under det att de andra skola lyda, utan i ett bolag bestämmes hvars och ens afgörande rätt efter den insats, som han har gjort i den gemensamma affären. Och hvad äktenskapet beträffar frågar jag, hvem har väl gjort den största insatsen? Jag tror icke många skola kunna förneka, att kontrahenterna gjort åtminstone lika stora insatser. Jag för min del påstår, att </w:t>
      </w:r>
      <w:r>
        <w:rPr>
          <w:b/>
        </w:rPr>
        <w:t>kvinnan¹</w:t>
      </w:r>
      <w:r>
        <w:rPr>
          <w:b w:val="0"/>
        </w:rPr>
        <w:t xml:space="preserve"> har gjort och gör mångdubbelt större insats i äktenskapet än mannen, och därför bör </w:t>
      </w:r>
      <w:r>
        <w:rPr>
          <w:b/>
        </w:rPr>
        <w:t>hon²</w:t>
      </w:r>
      <w:r>
        <w:rPr>
          <w:b w:val="0"/>
        </w:rPr>
        <w:t xml:space="preserve"> också, så vidt med dess idé är förenligt, ha en så fri</w:t>
        <w:br/>
        <w:br/>
        <w:t>och värdig ställning som möjligt.</w:t>
        <w:br/>
        <w:br/>
        <w:t>Jag skall icke uppehålla kammaren med att ytterligare diskutera utskottets förslag, ehuru det kunde vara frestande. Utskottet har med juridisk talang formulerat en kläm, där det talas om bristen på kodifiering, klarhet och följdriktighet m. m., - som bör uppbjälpas, och det är allt godt och väl, men där står ingenting om innehållet och riktningen af det lagförslag, som begäres.</w:t>
        <w:br/>
        <w:br/>
        <w:t xml:space="preserve">Den, som verkligen vill vinna någon effektiv förändring i anmärkta afseende, kan svårligen förena sig med utskottet, ty Kungl. Maj:t skulle af denna skrifvelse icke få någon ledning om hvad han skall göra. Under det han skulle låta linjera upp den gällande lagens orediga gränser för att få dem klara och räta, kan det ju lika gärna hända, att det skäres af, som att det lägges till något i </w:t>
      </w:r>
      <w:r>
        <w:rPr>
          <w:b/>
        </w:rPr>
        <w:t>hustruns²</w:t>
      </w:r>
      <w:r>
        <w:rPr>
          <w:b w:val="0"/>
        </w:rPr>
        <w:t xml:space="preserve"> myndighet. Men detta synes vara från utskottets synpunkt tämligen likgiltigt, endast bestämmelserna blifva följdriktiga och klara samt lätta att tolka. Under sådana förhållanden anser jag mig böra taga afstånd från utskottets förslag, och ehuru jag icke fullt är på det klara med, hvilket af de andra skrifvelseförslagen, som är det bästa, så synes mig dock herr Lindhagens vara det tydligaste, och därför, herr talman, ber jag att uti rättvisans och pliktens namn få yrka bifall till detta skrifvelseförslag samt afslag å utskottets hemställan.</w:t>
      </w:r>
    </w:p>
    <w:p>
      <w:pPr>
        <w:pStyle w:val="Heading2"/>
      </w:pPr>
      <w:r>
        <w:t>8. Carl Birger Hasselrot (–, man)</w:t>
      </w:r>
    </w:p>
    <w:p>
      <w:r>
        <w:rPr>
          <w:b w:val="0"/>
        </w:rPr>
        <w:t>Här har blifvit sagdt så mycket för och emot i denna fråga, att jag egentligen icke har något nytt att tillägga, utan endast ber att med ett par ord få försöka klargöra lagutskottets ställning till frågan.</w:t>
        <w:br/>
        <w:br/>
        <w:t>Jag ber då till en början att få fästa kammarens uppmärk-</w:t>
        <w:br/>
        <w:br/>
        <w:t xml:space="preserve">samhet därå, att motionärerna icke hafva ifrågasatt någon för- Om revision ändring i afseende å gift </w:t>
      </w:r>
      <w:r>
        <w:rPr>
          <w:b/>
        </w:rPr>
        <w:t>kvinnas¹</w:t>
      </w:r>
      <w:r>
        <w:rPr>
          <w:b w:val="0"/>
        </w:rPr>
        <w:t xml:space="preserve"> nuvarande förmögenhetsrättsliga of gär ande ställning. Hvad flera talare därvidlag anfört är därför något, KY rg som faller alldeles utanför motionens ram, och lagutskottet har </w:t>
      </w:r>
      <w:r>
        <w:rPr>
          <w:b/>
        </w:rPr>
        <w:t>hustrus²</w:t>
      </w:r>
      <w:r>
        <w:rPr>
          <w:b w:val="0"/>
        </w:rPr>
        <w:t xml:space="preserve"> rättsicke haft någon anledning att därmed sysselsätta sig. liga ställning. Hvad motionen egentligen innebär är ett upphäfvande af (Forts.) målsmanskapet, ett uttryckligt förklarande af </w:t>
      </w:r>
      <w:r>
        <w:rPr>
          <w:b/>
        </w:rPr>
        <w:t>kvinnans¹</w:t>
      </w:r>
      <w:r>
        <w:rPr>
          <w:b w:val="0"/>
        </w:rPr>
        <w:t xml:space="preserve"> myndighet och likställighet med mannen i alla afseenden, och det är detta, lagutskottet har tagit sig friheten afstyrka. Däremot har lagutskottet funnit lämpligt att hos Kungl. Maj:t begära förtydliganden i nu gällande lagstiftning om </w:t>
      </w:r>
      <w:r>
        <w:rPr>
          <w:b/>
        </w:rPr>
        <w:t>hustrus²</w:t>
      </w:r>
      <w:r>
        <w:rPr>
          <w:b w:val="0"/>
        </w:rPr>
        <w:t xml:space="preserve"> rättsliga ställning. Ett par talare hafva ansett, att hvad lagutskottet sålunda föreslagit är så obetydligt, att de hellre yrkat afslag än de velat förorda lagutskottets förslag att, äfven om man icke ville slopa målsmanskapet, begära förtydligande "af lagens bestämmelser. Jag skall då be att få 'erinra därom, att det särskildt är tvenne bestämmelser, som för närvarande därutinnan leda till oreda. För det första är det oklart, om gift </w:t>
      </w:r>
      <w:r>
        <w:rPr>
          <w:b/>
        </w:rPr>
        <w:t>kvinna¹</w:t>
      </w:r>
      <w:r>
        <w:rPr>
          <w:b w:val="0"/>
        </w:rPr>
        <w:t xml:space="preserve"> äger rätt att föra talan inför rätta äfven i sådana mål, som röra sådan egen egendom, hvaröfver </w:t>
      </w:r>
      <w:r>
        <w:rPr>
          <w:b/>
        </w:rPr>
        <w:t>hon²</w:t>
      </w:r>
      <w:r>
        <w:rPr>
          <w:b w:val="0"/>
        </w:rPr>
        <w:t xml:space="preserve"> har förvaltningsrätt. Det är nämligen uttryckligen bestämdt i lagen, att </w:t>
      </w:r>
      <w:r>
        <w:rPr>
          <w:b/>
        </w:rPr>
        <w:t>kvinnan¹</w:t>
      </w:r>
      <w:r>
        <w:rPr>
          <w:b w:val="0"/>
        </w:rPr>
        <w:t xml:space="preserve"> har förvaltningsrätt icke endast, såsom herr Berg sade, öfver den egendom, </w:t>
      </w:r>
      <w:r>
        <w:rPr>
          <w:b/>
        </w:rPr>
        <w:t>hon²</w:t>
      </w:r>
      <w:r>
        <w:rPr>
          <w:b w:val="0"/>
        </w:rPr>
        <w:t xml:space="preserve"> själf genom arbete förvärfvat, utan äfven öfver all sådan egendom, hvartill </w:t>
      </w:r>
      <w:r>
        <w:rPr>
          <w:b/>
        </w:rPr>
        <w:t>hon²</w:t>
      </w:r>
      <w:r>
        <w:rPr>
          <w:b w:val="0"/>
        </w:rPr>
        <w:t xml:space="preserve"> genom äktenskapsförord eller i annan laga form tillerkänts dylik rätt. Tvifvelaktigt är dock, på grund af felaktig eller otydlig formulering af lagen, om </w:t>
      </w:r>
      <w:r>
        <w:rPr>
          <w:b/>
        </w:rPr>
        <w:t>hon²</w:t>
      </w:r>
      <w:r>
        <w:rPr>
          <w:b w:val="0"/>
        </w:rPr>
        <w:t xml:space="preserve"> i dessa delar äfven får tala vid domstol, och det är angeläget, att detta blir utredt. Gent emot talaren på malmöbänken ber jag få säga, att det jämväl synes mig vara angeläget, att en inskränkning sker uti den bestämmelse, som finnes i näringsfrihetsförordningen. Om </w:t>
      </w:r>
      <w:r>
        <w:rPr>
          <w:b/>
        </w:rPr>
        <w:t>hustrun²</w:t>
      </w:r>
      <w:r>
        <w:rPr>
          <w:b w:val="0"/>
        </w:rPr>
        <w:t xml:space="preserve"> fått en fabriksanläggning eller en handtverksrörelse, hvaruti </w:t>
      </w:r>
      <w:r>
        <w:rPr>
          <w:b/>
        </w:rPr>
        <w:t>hennes²</w:t>
      </w:r>
      <w:r>
        <w:rPr>
          <w:b w:val="0"/>
        </w:rPr>
        <w:t xml:space="preserve"> förmögenhet ligger, och som </w:t>
      </w:r>
      <w:r>
        <w:rPr>
          <w:b/>
        </w:rPr>
        <w:t>hon²</w:t>
      </w:r>
      <w:r>
        <w:rPr>
          <w:b w:val="0"/>
        </w:rPr>
        <w:t xml:space="preserve"> själf får förvalta, kan det då vara lämpligt, att mannen det oaktadt skall hafva rättighet att lägga hinder i vägen för </w:t>
      </w:r>
      <w:r>
        <w:rPr>
          <w:b/>
        </w:rPr>
        <w:t>hennes²</w:t>
      </w:r>
      <w:r>
        <w:rPr>
          <w:b w:val="0"/>
        </w:rPr>
        <w:t xml:space="preserve"> utöfvande af verksamheten? Alla olägenheter och otydligheter, som kunna följa af de nuvarande bestämmelserna, böra, enligt mitt förmenande, undanröjas och rättas. Att däremot, såsom flera talare förordat, taga bort målsmanskapet och ställa </w:t>
      </w:r>
      <w:r>
        <w:rPr>
          <w:b/>
        </w:rPr>
        <w:t>hustrun²</w:t>
      </w:r>
      <w:r>
        <w:rPr>
          <w:b w:val="0"/>
        </w:rPr>
        <w:t xml:space="preserve"> i alla afseenden likställd med mannen, det förefaller mig mer än vågadt. Något sådant har intet land försökt. Under någon form och i vissa afseenden måste alltid något målsmanskap, eller hvad man vill kalla det, finnas. Man säger visserligen, att </w:t>
      </w:r>
      <w:r>
        <w:rPr>
          <w:b/>
        </w:rPr>
        <w:t>hustrun²</w:t>
      </w:r>
      <w:r>
        <w:rPr>
          <w:b w:val="0"/>
        </w:rPr>
        <w:t xml:space="preserve"> befinner sig uti en sämre ställning än till och med </w:t>
      </w:r>
      <w:r>
        <w:rPr>
          <w:b/>
        </w:rPr>
        <w:t>hennes²</w:t>
      </w:r>
      <w:r>
        <w:rPr>
          <w:b w:val="0"/>
        </w:rPr>
        <w:t xml:space="preserve"> tjänare och barn, då dessa äro myndiga. Enligt min mening icke i en sämre utan i en annan ställning, och detta är något, som följer af hvarje förening. Vid en förening mellan två stater få de båda i någon mån uppgifva</w:t>
        <w:br/>
        <w:br/>
        <w:t xml:space="preserve">sin själfbestämningsrätt; ett lagligt bolag förutsätter, att någon skall teckna firman eller vara verkställande direktör, och uti ett äktenskap, som utgör en förening mellan tvenne makar, förutsättes nödvändigt, då de båda icke komma öfverens, att någon af dem skall äga bestämmanderätten. Någon skall väl ändock bestämma makarnas lagliga bostad, eller, om man också vill gå så långt att låta enhvar afgöra detta, så att </w:t>
      </w:r>
      <w:r>
        <w:rPr>
          <w:b/>
        </w:rPr>
        <w:t>hustrun²</w:t>
      </w:r>
      <w:r>
        <w:rPr>
          <w:b w:val="0"/>
        </w:rPr>
        <w:t xml:space="preserve"> må få rätt att bo t. ex. i Göteborg, äfven om mannen bor i Stockholm, skall väl ändock någon i händelse af olika meningar hafva rätt bestämma, hvar barnen skola bo, hvar de skola gå i skola o. s. v.? Detta är målsmanskapet. Vill man nu bestämma det så, att </w:t>
      </w:r>
      <w:r>
        <w:rPr>
          <w:b/>
        </w:rPr>
        <w:t>hustrun²</w:t>
      </w:r>
      <w:r>
        <w:rPr>
          <w:b w:val="0"/>
        </w:rPr>
        <w:t xml:space="preserve"> i vissa fall skall utöfva målsmanskapet, så är jag öfvertygad om att detta ofta nog kunde vara lämpligare, då många äktenskap finnas, där </w:t>
      </w:r>
      <w:r>
        <w:rPr>
          <w:b/>
        </w:rPr>
        <w:t>hustrun²</w:t>
      </w:r>
      <w:r>
        <w:rPr>
          <w:b w:val="0"/>
        </w:rPr>
        <w:t xml:space="preserve"> bättre än mannen förstår att utöfva målsmanskapet. En af dem bör dock hafva rätten att bestämma, och det går ej an, att målsmanskapet' helt och hållet upphör, så att båda makarna stå alldeles själfständiga gent emot hvarandra i saker och förhållanden, som röra gemensamma angelägenheter. .</w:t>
        <w:br/>
        <w:br/>
        <w:t xml:space="preserve">Då nu en förändring i denna riktning icke blifvit ifrågasatt, måste man väl för närvarande vidhålla den ståndpunkten, att mannen, åtminstone i alla de frågor, som icke beröra </w:t>
      </w:r>
      <w:r>
        <w:rPr>
          <w:b/>
        </w:rPr>
        <w:t>hustruns²</w:t>
      </w:r>
      <w:r>
        <w:rPr>
          <w:b w:val="0"/>
        </w:rPr>
        <w:t xml:space="preserve"> personliga ställning och </w:t>
      </w:r>
      <w:r>
        <w:rPr>
          <w:b/>
        </w:rPr>
        <w:t>hennes²</w:t>
      </w:r>
      <w:r>
        <w:rPr>
          <w:b w:val="0"/>
        </w:rPr>
        <w:t xml:space="preserve"> förvaltningsrätt, får föra talan i deras ostridigt gemensamma angelägenheter, och så långt har lagutskottet gått, men icke längre.</w:t>
      </w:r>
    </w:p>
    <w:p>
      <w:pPr>
        <w:pStyle w:val="Heading2"/>
      </w:pPr>
      <w:r>
        <w:t>9. Carl Moberg (Första kammarens protektionistiska parti, man)</w:t>
      </w:r>
    </w:p>
    <w:p>
      <w:r>
        <w:rPr>
          <w:b w:val="0"/>
        </w:rPr>
        <w:t xml:space="preserve">Det yttrades häromdagen af en ärad talare på norrlandsbänken i en annan fråga, att om också vår tid icke utmärkte sig för synnerlig ridderlighet mot </w:t>
      </w:r>
      <w:r>
        <w:rPr>
          <w:b/>
        </w:rPr>
        <w:t>kvinnan¹</w:t>
      </w:r>
      <w:r>
        <w:rPr>
          <w:b w:val="0"/>
        </w:rPr>
        <w:t xml:space="preserve">, så bemödade den sig dock att göra </w:t>
      </w:r>
      <w:r>
        <w:rPr>
          <w:b/>
        </w:rPr>
        <w:t>henne²</w:t>
      </w:r>
      <w:r>
        <w:rPr>
          <w:b w:val="0"/>
        </w:rPr>
        <w:t xml:space="preserve"> rättvisa. Ja, däri hade den ärade talaren mycket rätt. Men frågan kan just blifva, om ej bristen på ena sidan kan förklaras af de många bemödandena på den andra sidan. Ty i samma mån som lagstiftaren ideligen vinnlägger sig om att tillgodose alla de anspråk, som tid efter annan framställas för att tillvarataga </w:t>
      </w:r>
      <w:r>
        <w:rPr>
          <w:b/>
        </w:rPr>
        <w:t>kvinnans¹</w:t>
      </w:r>
      <w:r>
        <w:rPr>
          <w:b w:val="0"/>
        </w:rPr>
        <w:t xml:space="preserve"> rätt, som det heter, i rättsligt, socialt och politiskt hänseende, så att det ingalunda vidare må heta, att mannen är skapelsens herre, ännu mindre herre i sitt hus, i samma mån varder helt naturligt den känslan förhärskande hos mannen, att </w:t>
      </w:r>
      <w:r>
        <w:rPr>
          <w:b/>
        </w:rPr>
        <w:t>kvinnan¹</w:t>
      </w:r>
      <w:r>
        <w:rPr>
          <w:b w:val="0"/>
        </w:rPr>
        <w:t xml:space="preserve"> ej längre är det svaga väsen, som han är satt att skydda och hjälpa; liksom det synes mig tämligen gifvet, att den makt, som </w:t>
      </w:r>
      <w:r>
        <w:rPr>
          <w:b/>
        </w:rPr>
        <w:t>hon²</w:t>
      </w:r>
      <w:r>
        <w:rPr>
          <w:b w:val="0"/>
        </w:rPr>
        <w:t xml:space="preserve"> tillförene öfver honom ägt genom vapen, om hvilka jag ej behöfver i denna kammare orda, varder allt mer och mer förslöad genom de andra vapen, som lagstiftaren sätter </w:t>
      </w:r>
      <w:r>
        <w:rPr>
          <w:b/>
        </w:rPr>
        <w:t>henne²</w:t>
      </w:r>
      <w:r>
        <w:rPr>
          <w:b w:val="0"/>
        </w:rPr>
        <w:t xml:space="preserve"> i händerna till kamp mot mannen. Huruvida </w:t>
      </w:r>
      <w:r>
        <w:rPr>
          <w:b/>
        </w:rPr>
        <w:t>hon²</w:t>
      </w:r>
      <w:r>
        <w:rPr>
          <w:b w:val="0"/>
        </w:rPr>
        <w:t xml:space="preserve"> nu vinner mer genom hjärtats än genom lagens vapen, det vill jag här lämna osagdt; men så mycket torde man i allt fall böra vara ense om, att det är särdeles</w:t>
        <w:br/>
        <w:br/>
        <w:t xml:space="preserve">angeläget, att lagstiftaren i sin omsorg att tillvarataga </w:t>
      </w:r>
      <w:r>
        <w:rPr>
          <w:b/>
        </w:rPr>
        <w:t>kvinnans¹</w:t>
      </w:r>
      <w:r>
        <w:rPr>
          <w:b w:val="0"/>
        </w:rPr>
        <w:t xml:space="preserve"> Om revision rättigheter icke förbiser hvad för honom dock är angelägnast att rå Srnde vårda, nämligen bibehållandet af äktenskapets idé, som, om man aetifbning också icke vill betrakta den ur gammaltestamentlig synpunkt, </w:t>
      </w:r>
      <w:r>
        <w:rPr>
          <w:b/>
        </w:rPr>
        <w:t>hustrus²</w:t>
      </w:r>
      <w:r>
        <w:rPr>
          <w:b w:val="0"/>
        </w:rPr>
        <w:t xml:space="preserve"> rättsdock fortfarande måste anses vara att befordra en lycklig sam-liga ställning. manlefnad man och </w:t>
      </w:r>
      <w:r>
        <w:rPr>
          <w:b/>
        </w:rPr>
        <w:t>kvinna¹</w:t>
      </w:r>
      <w:r>
        <w:rPr>
          <w:b w:val="0"/>
        </w:rPr>
        <w:t xml:space="preserve"> emellan till deras egen fromma och = (Forts.) till samhällets båtnad och bestånd. Ett af vår tids förnämsta lyten, enligt den syn jag har på tingen, är den oerhörda löslighet, som gör sig gällande i fråga om äktenskapets helgd; och om också i första rummet orsaken härtill måste sökas i det allt mer och mer omkring sig gripande lättsinnet, som hotar att ödelägga alla bättre begrepp om moral, så vågar jag likvisst hålla före, att alla de bemödanden, som oupphörligen göras att lösa de yttre band, som sammanhålla makarne, gifva lättade tillfällen för detta lättsinne att under allehanda skyddande förklädnad tränga sig in i äktenskapet och störa dess frid och dess lycka. Det är ock därför jag tillåtit mig uttala den åsikten, att det är särdeles angeläget, då man ger sig in på lösningen af frågor inom den viktiga äktenskapsrätten, att tillse, att dessa frågor lösas så, att slutligen af äktenskapet ej varder något annat öfrigt än en förening, visserligen till släktets förökelse, men ej till dess uppfostran. Den fråga, som nu här föreligger, synes mig, om den ej rätt beaktas och skärskådas från alla sidor, kunna varda af ödesdiger beskaffenhet. Lika välbetänkt, lika rätt som det varit att genom lagstiftning bereda makan tillfälle att skydda den egendom, som </w:t>
      </w:r>
      <w:r>
        <w:rPr>
          <w:b/>
        </w:rPr>
        <w:t>hon²</w:t>
      </w:r>
      <w:r>
        <w:rPr>
          <w:b w:val="0"/>
        </w:rPr>
        <w:t xml:space="preserve"> infört i boet, liksom ock hvad </w:t>
      </w:r>
      <w:r>
        <w:rPr>
          <w:b/>
        </w:rPr>
        <w:t>hon²</w:t>
      </w:r>
      <w:r>
        <w:rPr>
          <w:b w:val="0"/>
        </w:rPr>
        <w:t xml:space="preserve"> genom eget arbete kan under äktenskapet förvärfva, lika betänksam, synes det mig, bör man å andra sidan vara, då det gäller att utsträcka denna rätt därhän, att </w:t>
      </w:r>
      <w:r>
        <w:rPr>
          <w:b/>
        </w:rPr>
        <w:t>kvinnan¹</w:t>
      </w:r>
      <w:r>
        <w:rPr>
          <w:b w:val="0"/>
        </w:rPr>
        <w:t xml:space="preserve"> varder fullmyndig i äktenskapet utan annan inskränkning än den, som ligger däri, att mannen är förvaltare af det gemensamma boet. I realiteten, herr grefve och talman, kan jag efter mitt förstånd icke fatta, huru dessa båda rättigheter, </w:t>
      </w:r>
      <w:r>
        <w:rPr>
          <w:b/>
        </w:rPr>
        <w:t>kvinnans¹</w:t>
      </w:r>
      <w:r>
        <w:rPr>
          <w:b w:val="0"/>
        </w:rPr>
        <w:t xml:space="preserve"> fullmyndighet inom äktenskapet och mannens målsmanskap öfver det gemensamma boet, låta sig förenas, ty det synes mig alldeles uppenbart, såsom också här blifvit förut påpekadt, att den ena rätten måste komma i ovillkorlig kollision med den andra. Om t. ex., såsom lagutskottet i ett annat sammanhang förutsatt, </w:t>
      </w:r>
      <w:r>
        <w:rPr>
          <w:b/>
        </w:rPr>
        <w:t>kvinnan¹</w:t>
      </w:r>
      <w:r>
        <w:rPr>
          <w:b w:val="0"/>
        </w:rPr>
        <w:t xml:space="preserve"> skulle såsom fullmyndig — hvilket ju också vore gifvet — äga rätt att oberoende af mannen bestämma sin vistelseort, och </w:t>
      </w:r>
      <w:r>
        <w:rPr>
          <w:b/>
        </w:rPr>
        <w:t>hon²</w:t>
      </w:r>
      <w:r>
        <w:rPr>
          <w:b w:val="0"/>
        </w:rPr>
        <w:t xml:space="preserve"> ej äger egna tillgångar att bestrida kostnaderna för den egna bostaden eller för resor jorden rundt, -så måste väl ovillkorligen varda följden, att mannen med det gemensamma boets egendom måste bestrida kostnaderna därför. Då frågar jag, mina herrar: hvad blir då kvar af mannens förvaltningsrätt, då han ju i verkligheten endast har att betala hvad </w:t>
      </w:r>
      <w:r>
        <w:rPr>
          <w:b/>
        </w:rPr>
        <w:t>hustrun²</w:t>
      </w:r>
      <w:r>
        <w:rPr>
          <w:b w:val="0"/>
        </w:rPr>
        <w:t xml:space="preserve"> depenserar? Jag tycker, att ställningen i så fall blifver ungefär den, att — om man tager en jämförelse</w:t>
        <w:br/>
        <w:br/>
        <w:t xml:space="preserve">från ett bolag — </w:t>
      </w:r>
      <w:r>
        <w:rPr>
          <w:b/>
        </w:rPr>
        <w:t>hustrun²</w:t>
      </w:r>
      <w:r>
        <w:rPr>
          <w:b w:val="0"/>
        </w:rPr>
        <w:t xml:space="preserve"> blir den så kallade verkställande direktören och mannen blir kassören.</w:t>
        <w:br/>
        <w:br/>
        <w:t xml:space="preserve">Jag förstår mycket väl de känslor, som besjäla de </w:t>
      </w:r>
      <w:r>
        <w:rPr>
          <w:b/>
        </w:rPr>
        <w:t>kvinnor¹</w:t>
      </w:r>
      <w:r>
        <w:rPr>
          <w:b w:val="0"/>
        </w:rPr>
        <w:t xml:space="preserve">, hvilka i medvetandet af sitt eget värde och sin förmåga att fylla sina uppgifter, både sådana de nu äro och sådana de skulle varda, om de blefve fullmyndiga, känna det band, som lagen genom bestämmelser, som inskränka deras myndighet, lägger på dem, vara nedsättande för deras värde. Men om de ville besinna, att den myndighet de åstunda kan för många af deras </w:t>
      </w:r>
      <w:r>
        <w:rPr>
          <w:b/>
        </w:rPr>
        <w:t>systrar²</w:t>
      </w:r>
      <w:r>
        <w:rPr>
          <w:b w:val="0"/>
        </w:rPr>
        <w:t>, som ej äro lika väl utrustade å hjärtats och hufvudets vägnar, varda till fördärf, till fördärf för dem själfva, till fördärf för deras män, till fördärf för deras hem, så skulle de med jämnmod finna sig i den uteblifna myndighetsförklaringen, af hvilken de för öfrigt nog icke äro i så synnerligt stort behof, helst som de densamma förutan nog veta att den behöriga myndigheten utöfva.</w:t>
        <w:br/>
        <w:br/>
        <w:t>Med det sagda har jag ingalunda velat motsätta mig en skrifvelse i det syfte, som lagutskottet uttalat. Frågan är af stor vikt, och min aktning för den ärade motionär, som har framburit densamma, gör mig gärna villig att biträda en dylik hemställan; och det kan ju mycket väl hända, att, när förståndigare män än jag få tillfälle att taga frågan om hand, den kan lösas på ett sätt, så att mina tvifvelsmål om lämpligheten af den ifrågasatta reformen varda häfda. Men medgifvas måste dock, att, särskildt med hänsyn till den, som det synes mig, mycket oklara ställning till frågan, som lagutskottet intagit och som äfven återfinnes i lagutskottets kläm, Kungl. Majt:s uppgift varder ganska vansklig. Men Kungl. Maj:t är ju mycket van vid att från Riksdagen få mottaga skrifvelser, där det dunkelt tänkta gifvit sig uttryck i det dunkelt sagda, och det kan väl därför vara att hoppas, att något godt kan komma af ett beslut om en skrifvelse, sådan som lagutskottet föreslagit; men väl må vederbörande vid närmare öfvervägande af den viktiga frågan beakta, hvarthän man genom den ifrågasatta reformen kan komma och om densamma med alla sina konsekvenser är önskvärd.</w:t>
        <w:br/>
        <w:br/>
        <w:t>Herr grefve och talman, jag yrkar bifall till lagutskottets förslag.</w:t>
        <w:br/>
        <w:br/>
        <w:t>» bifall till utskottets hemställan, hvilken förnyades, vara' med öfvervägande ja besvarad.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