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946</w:t>
      </w:r>
    </w:p>
    <w:p>
      <w:r>
        <w:rPr>
          <w:b/>
        </w:rPr>
        <w:t xml:space="preserve">Datum: </w:t>
      </w:r>
      <w:r>
        <w:t>1904-03-06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Per Zimdahl (Lantmannapartiet, man)</w:t>
      </w:r>
    </w:p>
    <w:p>
      <w:r>
        <w:rPr>
          <w:b w:val="0"/>
        </w:rPr>
        <w:t xml:space="preserve">Som herrarne behagade finna, har jag i min motion påpekat det missförhållandet eller den inkonsekvensen, att. då statsbidrag erhålles för i mindre folkskola eller särskild slöjdskola anordnad </w:t>
      </w:r>
      <w:r>
        <w:rPr>
          <w:b/>
        </w:rPr>
        <w:t>kvinnlig¹</w:t>
      </w:r>
      <w:r>
        <w:rPr>
          <w:b w:val="0"/>
        </w:rPr>
        <w:t xml:space="preserve"> slöjd, sådant bidrag ej erhålles för dylik slöjdundervisning i hvad det gäller gossar. Detta förhållande är så mycket anmärkningsvärdare, som det är att befara, att, om det fortfarande kommer att äga rum, landsting och hushållningssällskap skola indraga sina anslag till berörda syfte.</w:t>
        <w:br/>
        <w:br/>
        <w:t>Då utskottet emellertid säger sig hafva anledning att antaga, att Kungl. Maj:t på grund af en skrifvelse från 1902 års Riksdag kommer att taga frågan i öfvervägande och möjligen rätta missförhållandet, kan jag för min del hysa de bästa förhoppningar i frågan.</w:t>
        <w:br/>
        <w:br/>
        <w:t>Under sådana förhållanden, herr talman, har jag ej något yrkande alt göra.</w:t>
      </w:r>
    </w:p>
    <w:p>
      <w:pPr>
        <w:pStyle w:val="Heading2"/>
      </w:pPr>
      <w:r>
        <w:t>2. Peter Risberg (Lantmannapartiet, man)</w:t>
      </w:r>
    </w:p>
    <w:p>
      <w:r>
        <w:rPr>
          <w:b w:val="0"/>
        </w:rPr>
        <w:t xml:space="preserve">Jag har fäst mig vid den del af herr Zimdahls motion, hvari han yrkar, att slöjdskolor för gossar i förening med mindre folkskolor skola vara likställda i fråga om statsbidrag med mindre folkskolor, med hvilka slöjdundervisning för </w:t>
      </w:r>
      <w:r>
        <w:rPr>
          <w:b/>
        </w:rPr>
        <w:t>flickor²</w:t>
      </w:r>
      <w:r>
        <w:rPr>
          <w:b w:val="0"/>
        </w:rPr>
        <w:t xml:space="preserve"> är förenad. Jag har fått en särskild anledning att fästa mig därvid genom en skrifvelse från en lärare vid en mindre folkskola i en socken inom den valkrets, som jag representerar. Jag vill anföra, hvad han säger i denna skrifvelse, såsom mycket belysande för de missförhållanden, som nu förefinnas i denna sak.</w:t>
        <w:br/>
        <w:br/>
        <w:t xml:space="preserve">Denne lärare har förestått slöjdundervisning för gossar sedan år 1890, på samma gång han varit lärare i en mindre folkskola. Distriktet har också för denna slöjdundervisning åtnjutit statsbidrag ända till 1902, då anhållan om detta anslag afslogs. Han är familjefar och har 4 barn att försörja, men åtnjuter en lön, som är föga större än en </w:t>
      </w:r>
      <w:r>
        <w:rPr>
          <w:b/>
        </w:rPr>
        <w:t>småskolelärarinnas³</w:t>
      </w:r>
      <w:r>
        <w:rPr>
          <w:b w:val="0"/>
        </w:rPr>
        <w:t xml:space="preserve">. Då han gick miste om statsanslaget det nyssnämnda året och således numera ej kan få mer än 40 kronor från landstinget för sin slöjdundervisning, kunna vi förstå, hur kännbart detta skall vara för honom i hans små omständigheter. I samma socken finns en mindre folkskola, där en </w:t>
      </w:r>
      <w:r>
        <w:rPr>
          <w:b/>
        </w:rPr>
        <w:t>lärarinna³</w:t>
      </w:r>
      <w:r>
        <w:rPr>
          <w:b w:val="0"/>
        </w:rPr>
        <w:t xml:space="preserve"> förestår slöjdundervisningen för </w:t>
      </w:r>
      <w:r>
        <w:rPr>
          <w:b/>
        </w:rPr>
        <w:t>flickor²</w:t>
      </w:r>
      <w:r>
        <w:rPr>
          <w:b w:val="0"/>
        </w:rPr>
        <w:t>, och denna skola får statsbidrag. Folkskolelärarne, som också ha slöjdskolor tillsammans med sina folkskolor, åtnjuta 120 kronor såsom lärare i slöjd, under det den nämnda läraren, som sagdt har blott 40 kronor. Detta ådagalägger ju uppenbarligen ett missförhållande, som kräfver rättelse.</w:t>
        <w:br/>
        <w:br/>
        <w:t>Riksdagen aflät år 1902 en skrifvelse till Kungl. Maj:t med anledning af motion i ämnet, och anhöll Riksdagen däri om en</w:t>
        <w:br/>
        <w:br/>
        <w:t>undersökning, huruvida icke någon ändring i den kungl. kungörelsen rörande statsanslag för slöjdskolor af den 25 maj 1900 behöfde ske, samt om framläggande af förslag med anledning af denna undersökning. Jag kan icke föreställa mig annat, än att det nu påpekade missförhållande, som jag belyst genom det anförda exemplet, är bekant inom ecklesiastikdepartementet, så att man därifrån kunde haft anledning förvänta ett förslag till ändring i nu berörda hänseende. Jag hoppas, att, ifall icke ett sådant förslag snart framkommer och om en motion väckes i samma syfte som herr Zimdahls vid nästa riksdag, statsutskottet då icke må affärda den med den motivering, att en skrifvelse är aflåten till Kungl. Maj:t och att man därifrån kan vänta ett förslag, ett förslag, som redan för länge låtit vänta på sig.</w:t>
        <w:br/>
        <w:br/>
        <w:t>Jag har, herr talman, intet yrkande att göra, men jag har velat fästa uppmärksamheten vid saken så som jag nu framställt 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946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