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35</w:t>
      </w:r>
    </w:p>
    <w:p>
      <w:r>
        <w:rPr>
          <w:b/>
        </w:rPr>
        <w:t xml:space="preserve">Datum: </w:t>
      </w:r>
      <w:r>
        <w:t>1904-03-16</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Adolf von Möller (Första kammarens protektionistiska parti, man)</w:t>
      </w:r>
    </w:p>
    <w:p>
      <w:r>
        <w:rPr>
          <w:b w:val="0"/>
        </w:rPr>
        <w:t>Under min ganska långa riksdagstid, har jag längtat att en motion i detta ämne skulle framkomma. Själf harjag icke ansett mig kompetent till att göra detta, och jag tror äfven, om motionen skall hafva någon framgång, den bör, som nu skett, väckas från en ledamot af Andra Kammaren.</w:t>
        <w:br/>
        <w:br/>
        <w:t>Sista gången, en dylik motion förelåg, var år 1891, det vill säga 13 år hafva förflutit sedan dess, en ganska lång tid i sanning!</w:t>
        <w:br/>
        <w:br/>
        <w:t>Som i betänkandet synes, begär motionären ett förbud emot bortauktionering af fattiga. Detta har utskottet, som herrarne finna på sid. 10, afstyrkt af det skäl, att ärendet redan är föremål för Kungl. Maj:ts pröfning på grund af fosterbarnskommitténs af år 1597 utlåtande, som till $ 12 mom. 1 i fattigvårdsförordningen föreslagit ett så lydande tillägg: »Vill fattigvårdsstyrelsen till enskild person uttinga barn, må ej auktion anställas för erhållande af anbud.» När förslaget sedermera kommunicerades konungens befallningshafvande</w:t>
        <w:br/>
        <w:br/>
        <w:t>och kammarrätten, uttalade vissa af nämnda myndigheter den meningen, att det föreslagna stadgandet borde afse alla fattiga och icke endast barn.</w:t>
        <w:br/>
        <w:br/>
        <w:t>Jag kommer sålunda icke att yrka bifall till denna del af motionen, men af så mycket större vikt anser jag det vara, att man under någon form kan framställa yrkande om en utsträckt och skärpt kontroll öfver fattigvården. Och jag anser, att detta är desto lämpligare, som ju vissa delar af fattigvårdslagstiftningen, enligt hvad utskottet i föregående punkt påvisat, redan äro föremål för Kungl. Maj:ts pröfning, och det synes mig då vara skäl uti, att äfven detta upptages, så att Kungl. Maj:t kan få pröfva saken i ett sammanhang. Lagutskottet säger emellertid med sin vanliga korthet, att det »torde erfordras en genomgripande förändring af hela den gällande fattigvårdslagstiftningen; och motionären har icke förebragt någon utredning, som kan föranleda framställning om vidtagande af sådan åtgärd.» Det hade dock varit önskligt, att utskottet yttrat sig något mera utförligt om denna utredning, och hvilka lagutskottets positiva önskningsmål äro utöfver det att afslå motionen. Men därom sväfvar man i ovisshet. Utskottet säger, att Konungens befallningshafvande hafva till ämbetsplikt att kontrollera fattigvården, och att det står honom fritt — såsom förordningen naivt och negativt uttrycker sig, »konungens befallningshafvande icke betaget» — att ingripa. Jag vågar dock påstå, att en landshöfding, äfven om han än så mycket ömmar för de fattiga, omöjligen kan utöfva en fullt verksam kontroll, då det icke står honom till buds något organ för sådant ändamål. Icke kan landshöfdingen själf göra det och icke heller landssekreteraren eller någon annan af länsstyrelsen. Jag tror för min del, att våra landshöfdingeämbeten äro så öfverlupna af göromål, att det är dem omöjligt att i detta fall göra något annat än att beifra sakerna, när de särskildt komma till deras kännedom.</w:t>
        <w:br/>
        <w:br/>
        <w:t>Vidare har man provinsialläkarne, hvilka äga att inspektera fattiggårdarne i hygieniskt hänseende.</w:t>
        <w:br/>
        <w:br/>
        <w:t>Slutligen har man äfven pastor, och prästens ställning i församlingen är ju sådan, att den medgifver honom rätt att ingripa. Han har säte i kommunalnämnden o. 8. v. Jag vet väl, att ofantligt många präster, ja, säkerligen flertalet af dem, ömma för de fattiga och göra hvad på dem beror för att förbättra den kommunala fattigvården. Men prästens ställning i församlingen är sådan, att det icke är lätt för honom att ställa sig i opposition emot majoriteten i kommunalnämnden eller kommunalstämman. Han vill kanske icke stöta sig med sina församlingsbor, och det kan icke heller för honom vara angenämt såsom präst att uppträda som angifvare.</w:t>
        <w:br/>
        <w:br/>
        <w:t>På många trakter skulle han knappast få annat att göra än att skrifva anmälvingar om dessa stackars människor, som hålla på att till hälften svältas ihjäl. Ty märken väl, mina herrar, första paragrafens af fattiigvårdsförordningens ordalydeise, att när en person icke äri stånd att genom arbete förvärfva hvad till lifvets uppehållande ounpgängligen erfordras, då skall nödtorftig fattigvård honom lämnas det vill säga vår skyldighet mot våra lidande medmänniskor är enligt denna förordning den, att vi icke skola tillåta dem att svälta eller</w:t>
        <w:br/>
        <w:br/>
        <w:t>kontroll öfver den kommunala</w:t>
        <w:br/>
        <w:br/>
        <w:t>lägger lagen intet hinder i vägen. Såsom jag nyss påpekade förefinnes ingen kontroll öfver, att så icke sker. Dessutom saknas natur-</w:t>
        <w:br/>
        <w:br/>
        <w:t>fattigvården ligtvis i fattigvårdsförordningen alla föreskrifter om ordning, snygghet,</w:t>
        <w:br/>
        <w:br/>
        <w:t>Nu säger man, att det nog ej står så illa till. Att det dock icke är så väl beställdt, se herrarne på sid. 10, där det visas, att uti icke mindre än 483 af landsbygdens fattigvårdssamhällen auktionsförfarandet ännu utöfvas. I statistiken för 1899 se vi vidare, att 462 fattiga fortfarande gå på s. k. sockengång, det vill säga de skickas från det ena stället till det andra och åtnjuta därigenom sin försörjning. I 442 kommuner saknas fattighus eller anstalter till upptagande af de nödställde.</w:t>
        <w:br/>
        <w:br/>
        <w:t>När jag nu talar om fattigvården, så fäster jag mig naturligtvis hufvudsakligen vid den kommunala fattigvården på landet, ty det vill jag säga till våra större städers och äfven kanske till större delen af de mindre städernas beröm, att fattigvården där är ganska väl ordnad. Men tyvärr är så icke fallet på landsbygden.</w:t>
        <w:br/>
        <w:br/>
        <w:t>I förbigående vill jag fästa uppmärksamheten på ett missförhållande som ofta äger rum vid de s. k. fattigauktionerna eller vid infordrandet af anbud vid fattiges bortackorderande. Det händer då mycket ofta, att personer, som själfva stå fattigförsörjningsrätten så nåra, att det endast är en hårsmån, som skiljer dem från understödstagarne, komma in med anbud om öfvertagande af icke en utan tre eller fyra dylika föremål för den kommunala barmhertigheten för att genom dessa inackorderingar, som då naturligtvis sväl:as efter alla konstens regler, skaffa sig förtjänst och därigenom själfva rädda sig undan fattigvården. Det kan dock icke sägas, att det är vår tid värdigt, att sådant får ske. Men där ingen åklagare finnes, kan man ju icke heller vänta sig någon rättelse. Man invänder visserligen, att de fattige hafva rätt att själfva klaga. Ja, beträffande dessa stackars människor minnes jag, hurusom vid ett föredrag här i Stockholm en talare sade, att nog öfver många fattigvårdsinrättningar borde stå de Danteska orden: »I, som här inträden, låten hoppet fara.» Men öfver samtliga kunde man nog skrifva: »De, som där inträda, hafva redan låtit hoppet fara.» Och jag tror, att man i allmänhet kan säga åtminstone om de hyggliga och snälla fattighjonen, att de äro så resignerade, att de icke vilja klaga --- och de skulle icke heller våga det på många ställen.</w:t>
        <w:br/>
        <w:br/>
        <w:t>Då jag vet, hur ogerna kammaren åhör innanläsning, skall jag ur mitt rika förråd af »urklipp» blott läsa upp ett ringa fåtal, naturligtvis med utelämnande af alla ortnamn. Här står t. ex. i en tidning:</w:t>
        <w:br/>
        <w:br/>
        <w:t>»De ha så godt utrymme». V. fattighus i Ö. har råkat ut för en anmälan till länsstyrelsen af förste provinsialläkaren, som inspekterat detsamma.</w:t>
        <w:br/>
        <w:br/>
        <w:t xml:space="preserve">Vederbörande fattigvårdsstyrelse har nu förklarat sig. Doktorns klander, att män och </w:t>
      </w:r>
      <w:r>
        <w:rPr>
          <w:b/>
        </w:rPr>
        <w:t>kvinnor¹</w:t>
      </w:r>
      <w:r>
        <w:rPr>
          <w:b w:val="0"/>
        </w:rPr>
        <w:t xml:space="preserve"> bo i samma rum, anser den obefogad. Styrelsen har icke tänkt, att det skulle utgöra något hinder, »då de ha godt utrymme», och i många andra fattighus går det till på samma sätt :»</w:t>
        <w:br/>
        <w:br/>
        <w:t>håll skulle vara för litet, protesterar fattigvårdsstyrelsen, ty Hake får kontroll</w:t>
        <w:br/>
        <w:br/>
        <w:t>3 sor a öfver den gå omkring i de närmaste gårdarne och arbeta, en sak, som renderar kommunala honom inkomster i både mat och pängar. »Ochp&gt;, tillägger styrelsen, fattigvården »att han för en stilla vandel, det kan bevisas, genom att han hvarje m.m. helgdag bevistar gudstjänsten i kyrkan». G. H. T. 109/, 1902. (Forts.)</w:t>
        <w:br/>
        <w:br/>
        <w:t xml:space="preserve">»Fattigvård på landet.v På DL. fattighusi Ö. finnas för närvarande tre personer, däraf två sängliggande sjuka och en 80-årig gumma, hvilken naturligt nog ej kan uträtta något nämnvärdt, berättar pÖstgöten». De tre skola vårdas af en för detta ändamål tillsatt </w:t>
      </w:r>
      <w:r>
        <w:rPr>
          <w:b/>
        </w:rPr>
        <w:t>sköterska³</w:t>
      </w:r>
      <w:r>
        <w:rPr>
          <w:b w:val="0"/>
        </w:rPr>
        <w:t>, hvilken dock allt emellanåt gör en resa och ofta stannar borta en vecka, öfverlämnande de båda hjälplösa sjuka i den likaledes nästan hjälplösa gummans vård. Vid sådana tillfällen har det händt, att en af de sjuka, som är lam, fallit ur sängen och fått ligga halfnaken på golfvet rätt länge. Dessutom har ingen läkare anlitats för de sjuka, oaktadt en sådan nyligen flere gånger varit på besök i en gård intill och därvid farit förbi fattighuset, som ligger strax vid vägen.</w:t>
        <w:br/>
        <w:br/>
        <w:t>Man kan under dylika omständigheter lätt tänka sig fattighusinvånarnes belägenhet. Det är emellertid att hoppas, att vederbörande efter denna påpekning föranstalta någon ändring till det bättre.</w:t>
        <w:br/>
        <w:br/>
        <w:t>»Vår otidsenliga fattigförsörjning», Mångfaldiga gånger förekomma i pressen belysande exempel öfver, huru olika plikten om lagstadgad fattigvård tillämpas inom landet, skrifver en meddelare till H.-T. I allmänhet ursäkta sig vederbörande med, att fattigdomen är själfförvållad, att den som ej vill arbeta skall ej heller äta etc.</w:t>
        <w:br/>
        <w:br/>
        <w:t>I lördagens handelstidning intogs på gifna skäl ett upprop om understöd till en sedan tre år obotligt blind man, boende i en grannkommun, hvilken genom egen energi lärt sig borstbinderi, sedan olyckan träffade honom, men nu sedan tre månader varit sjuk och saknat; förmåga att skaffa sig råmaterialier till sitt handtvärk, hvarför mannen och hans nio hemmavarande barn, hvaraf endast två kunna förtjöna något, ej äro hulpna med det understöd af 10 kronor i månaden, som kommunen består dem.</w:t>
        <w:br/>
        <w:br/>
        <w:t>En framstående man yttrade för många år sedan om fattigvårdens tillämpning, att de fattiga finge »för lite att lefva af och för mycket ar dö af». Det äger sin tillämpning, som man ser, äfven i våra</w:t>
        <w:br/>
        <w:br/>
        <w:t>Konungens befallningshafvande äger dock stor makt enligt samma förordning, och plikt att öfvervaka åligger jämväl pastorer samt allmänna åklagaren -— men hur detta tillämpas, framgår af anförda exempel. Där ingen åklagare finnes, där finnes ingen rätt.</w:t>
        <w:br/>
        <w:br/>
        <w:t>ore icke på tid, att denna stora och allvarliga fråga nu återupptogs af Riksdagen, och kunde man icke hoppas bättre frukt däraf än senast? Det är hög tid, att en staten och samhället värdig ny lagsliftning i fattigvårdshänseende nu kommer till stånd. G. H. T. ?/, 1902.</w:t>
        <w:br/>
        <w:br/>
        <w:t>I Nya Dagligt Allehanda, nationalupplagan 23 mej 1902 läses en berättelse från en af socknarne ej långt från Stockholm, huru som en gammal halfblind och till hälften lam man var inhyst uti en liten</w:t>
        <w:br/>
        <w:br/>
        <w:t xml:space="preserve">stuga, aflägsen från människoboningar, där till hans vårdarinna lämnats en gumma, den s. k. Tok-Lotta, som led af periodisk sinnessjukdom, då </w:t>
      </w:r>
      <w:r>
        <w:rPr>
          <w:b/>
        </w:rPr>
        <w:t>hon²</w:t>
      </w:r>
      <w:r>
        <w:rPr>
          <w:b w:val="0"/>
        </w:rPr>
        <w:t xml:space="preserve"> blef våldsam och slog den gamle.</w:t>
        <w:br/>
        <w:br/>
        <w:t xml:space="preserve">Förliden höst gjorde han ett förtvifladt försök att åstadkomma någon ändring i sitt sorgliga läge. Han stapplade i väg till fattigvårdsstyrelsen och klagade sin nöd, men denna ansåg, att det var bra, som det var, med den motiveringen att Lotta ännu icke visat sig farlig för den allmänna säkerheten. Förgäfves sade mannen, att det komme att sluta illa, om man icke lagade, att han fick skydd. Dels beslöts, att den orkeslöse gubben och den vansinniga </w:t>
      </w:r>
      <w:r>
        <w:rPr>
          <w:b/>
        </w:rPr>
        <w:t>kvinnan¹</w:t>
      </w:r>
      <w:r>
        <w:rPr>
          <w:b w:val="0"/>
        </w:rPr>
        <w:t xml:space="preserve"> fortfarande skulle bo tillsammans i det ensliga torpet. Kristi Himmelsfärdsdag 1902 nedbrann stugan midt på ljusa dagen, och i ruinerna fann man de förkolnade liken af dess båda olyckliga innevånare, »som varit föremål för T—s sockens fattigvård»:</w:t>
        <w:br/>
        <w:br/>
        <w:t>Ja, jag skulle kunna upprepa oändliga sädana exempel för att visa, att det sannerligen icke är så väl ställdt, som man här möjligen vill låta påskina.</w:t>
        <w:br/>
        <w:br/>
        <w:t>Jag tror ej häller utskottet betänkt detta, utan öfverhopadt af arbete har det hängt sig fast vid motionens brist på utredning.</w:t>
        <w:br/>
        <w:br/>
        <w:t>Men, mine herrar, nu är frågan den, om detta ärende etter att hafva hvilat i 13 år nu skall få passera; och om framställningen endast af rent formella skäl skall afstyrkas. Jag hoppas, att denna kammare, som redan år 1891 biföll en återremiss, ehuru däraf blef intet, emedan frågan föll i Andra Kammaren, måtte lämna en hjälpsam hand åt dessa stackars olyckliga människor, med afseende å hvad motionären här önskat i frågan beträffande ökad kontroll.</w:t>
        <w:br/>
        <w:br/>
        <w:t>Det är, herr talman, af sådan anledning, som jag ber att få göra följande yrkande, nämligen att Riksdagen i skrifvelse till Kongl. Maj:t ville anhälla, det Kongl. Maj:t täcktes efter föregående utredning för Riksdagen framlägga förslag till en mera effektiv kontroll än den nuvarande öfver den kommunala fattigvården; och anhåller Jag om proposition på detta mitt yrkande.</w:t>
      </w:r>
    </w:p>
    <w:p>
      <w:pPr>
        <w:pStyle w:val="Heading2"/>
      </w:pPr>
      <w:r>
        <w:t>2. Carl Birger Hasselrot (–, man)</w:t>
      </w:r>
    </w:p>
    <w:p>
      <w:r>
        <w:rPr>
          <w:b w:val="0"/>
        </w:rPr>
        <w:t>Den ärade talaren började sitt anförande med att göra en rätt allvarsam anmärkning emot lagutskottet därför, att utskottet rörande denna detalj af motionen yttrat sig ovanligt kort. Utskottet har dock därpå offrat en half tryckt sida. Men huru har motionären själf gjort i sin motion? Jo, hela motionen går Ju ut på, att bortauktioneringen af fattiga må undanröjas, hvilken fråga nu ej kan föranleda någon åtgärd från Riksdagens sida, emedan man ju vet, att Kongl. Maj:t har den om hand; och utan att i motiveringen yttra ett ord om den skärpta kontrollen, säger motionären i slutet af motionen sig önska, att bortauktioneringen måtte förebyggas »samt att öfver hufvud taget den kommunala fattigvården ställes under statens kontroll.» fan framställer således blott och bart ett yrkande, att den kommunala fattigvården skall ställas under statens kontroll, utan att på ringaste sätt anföra, hvaruti bristerna bestå eller på hvad sätt den ifrågasatta kontrollen skall anordnas. Lagutskottet har alltså varit i sin goda rätt, då det sagt, att inga anvisningar blifvit läm-</w:t>
        <w:br/>
        <w:br/>
        <w:t>nade. Lagutskottet har hvarken haft befogenhet eller tillfälle att Tragasatt tänka ut, huru förhållandena skola ordnas, då motionären ej gjort det. öfoer den Den ärade talaren har emellertid nu framhållit en del saker och kommunala uttalat flera önskningsmål, som möjligen skulle kunna läggas tillfattigvården grund för en skrifvelse. Jag tillåter mig dock påpeka, att det nog 2: icke är så illa ställdt i förevarande fall, som den ärade talaren velat (Forts.) göra gällande. En rätt skarp och effektiv kontroll finnes redan. Det förhåller sig nog icke heller så, att fattighjonen icke ens våga att klaga, ty det förekommer ofta nog, då en kommun icke gifver tillräckligt fattigunderstöd, att klagomål ingifvas och föranleda rättelse. Jag känner själf ett flertal fall, då konungens befallningshafvande ålagt kommuner att lämna tillräckligt understöd. Och ej nog därmed, utan det upplystes inom lagutskottet, hurusom en konungens befallningshafvande nyligen proprio motu dels själf och dels genom landssekreteraren samt genom vederbörande kronofogdar och länsmän företagit undersökningar om fattigvårdens tillstånd och föreskrifvit om rättelse, där brist i detta fall egde rum, Däraf framgår sålunda, att det i detta fall icke är brist på kontroll, därest konungens befallningshafvande vilja fullgöra sin skyldighet. Att enstaka fall, sådana som talaren påpekat, af förbiseende kunna förekomma, kan naturligtvis icke bestridas, men lärer nog icke häller under några förhållanden kunna undvikas. Hvad beträffar det fall, den ärade talaren omnämnde, då provinsialläkaren gjorde anmälan och fattigvårdsstyrelsen svarade något snäft, så nämnde han icke, hvad konungens befallningshafvande sedermera åtgjorde i saken; men sannolikt är väl, att rättelse åstadkoms genom dess ingripande. Det förefaller mig, som om man icke på de grunder, som här blifvit anförda, är berättigad att ifrågasätta en fullständig omarbetning af hela lagen. Och särskildt vill jag fästa uppmärksamheten därpå, att våra kommuner icke äro så synnerligen benägna att ställas under myndigheternas kontroll mera än som är oundgängligen nödvändigt — och den kontroll, som i detta fall redan nu är lagstadgad, har, såvidt jag känner, icke brustit i effektivitet. Jag tillåter mig att yrka bifall till lagutskottets afstyrkande hemställan.</w:t>
      </w:r>
    </w:p>
    <w:p>
      <w:pPr>
        <w:pStyle w:val="Heading2"/>
      </w:pPr>
      <w:r>
        <w:t>3. Gösta Tamm (Liberala samlingspartiet, man)</w:t>
      </w:r>
    </w:p>
    <w:p>
      <w:r>
        <w:rPr>
          <w:b w:val="0"/>
        </w:rPr>
        <w:t>Herr talman! Det synes mig, att lagutskottet haft fullt skäl att icke önska aflåtandet af en skrifvelse till Konungen i förevarande ämne på den grund, att Riksdagen redan förut har skrifvit angående öfriga i motionerna berörda frågor, men ehuru så icke skett i det afseende, som af den förste talaren berördes, nämligen angående kontrollen öfver utöfvandet af fattigvården, förmodar jag, att då Kongl. Maj:t låter omarbeta författningen, denna fråga också blir tagen under öfvervägande, och synes mig därför någon skrifvelse i detta fall icke vara erforderlig.</w:t>
        <w:br/>
        <w:br/>
        <w:t>Anledningen, hvarför jag begärt ordet, är den, att jag önskar, att de många framställningar, som blifvit gjorda angående omarbetning af fattigvårdslagen, måtte höras ända fram till Kongl. Maj:t. Det förvånar mig icke, att från många håll oupphörliga framställningar komma om än den ena, än den andra förändringen. Jag</w:t>
        <w:br/>
        <w:br/>
        <w:t>skall be att få fästa uppmärksamheten därpå, att när 1871 års förordning tillkom, hade det inom många delar af landet inrotat sig</w:t>
        <w:br/>
        <w:br/>
        <w:t>kommunala missbruk och missförhållanden, hvilka man ville stäfja, och när man fattigvården vill stäfja ett missbruk, händer det så lätt, att man går något för</w:t>
        <w:br/>
        <w:br/>
        <w:t xml:space="preserve">långt åt andra sidan. Det synes mig, som om detta vore grunden till att fattigvårdsförordningen i vissa afseenden blifvit mycket sträng. Skillnaden mellan 1 och 2 $$ är icke med afseende å de fattiga så särdeles stor, men skillnaden mellan möjligheterna för en kommun, som lämnat fattigvård efter den ena eller efter den andra paragrafen, att återfå hvad den utlagt är mycket stor. Ty tillämpningen är därvidlag, som jag nämnde, mycket sträng. När det så kommer till, att högsta instansen för afgörande af fattigvårdsmål flyttats från Kongl. Maj:t till kammerrätten, så är det ju alldeles gifvet, att en myndighet sådan som kammarrätten måste med yttersta stränghet och formellt tillämpa lagen. Därigenom har man nu kommit därhän, att denna stränga tillämpning af en i och för sig själf sträng lag i många fall åstadkommer hårdhet. Jag kallar t. ex. för hårdhet, att när en </w:t>
      </w:r>
      <w:r>
        <w:rPr>
          <w:b/>
        </w:rPr>
        <w:t>änka²</w:t>
      </w:r>
      <w:r>
        <w:rPr>
          <w:b w:val="0"/>
        </w:rPr>
        <w:t xml:space="preserve">, när en öfvergifven </w:t>
      </w:r>
      <w:r>
        <w:rPr>
          <w:b/>
        </w:rPr>
        <w:t>hustru²</w:t>
      </w:r>
      <w:r>
        <w:rPr>
          <w:b w:val="0"/>
        </w:rPr>
        <w:t xml:space="preserve">, när en ogift </w:t>
      </w:r>
      <w:r>
        <w:rPr>
          <w:b/>
        </w:rPr>
        <w:t>kvinna¹</w:t>
      </w:r>
      <w:r>
        <w:rPr>
          <w:b w:val="0"/>
        </w:rPr>
        <w:t xml:space="preserve"> med flera barn, hvilken icke kan få ett sådant läkarebetyg, att </w:t>
      </w:r>
      <w:r>
        <w:rPr>
          <w:b/>
        </w:rPr>
        <w:t>hon²</w:t>
      </w:r>
      <w:r>
        <w:rPr>
          <w:b w:val="0"/>
        </w:rPr>
        <w:t xml:space="preserve"> förklaras vara oförmögen att sig själf försörja, utan genom läkarebetyget endast intygas vara mindre arbetsför — när en sådan </w:t>
      </w:r>
      <w:r>
        <w:rPr>
          <w:b/>
        </w:rPr>
        <w:t>kvinna¹</w:t>
      </w:r>
      <w:r>
        <w:rPr>
          <w:b w:val="0"/>
        </w:rPr>
        <w:t xml:space="preserve">, säger jag, </w:t>
      </w:r>
      <w:r>
        <w:rPr>
          <w:b/>
        </w:rPr>
        <w:t>hon²</w:t>
      </w:r>
      <w:r>
        <w:rPr>
          <w:b w:val="0"/>
        </w:rPr>
        <w:t xml:space="preserve"> må sitta där med huru många barn som hälst, får understöd enligt 2 $ af en kommun, så kan denna kommun icke få ersättning af den kommun, där </w:t>
      </w:r>
      <w:r>
        <w:rPr>
          <w:b/>
        </w:rPr>
        <w:t>hon²</w:t>
      </w:r>
      <w:r>
        <w:rPr>
          <w:b w:val="0"/>
        </w:rPr>
        <w:t xml:space="preserve"> har hemortsrätt. Jag vill nu icke påstå, att detta har sin grund endast i det sätt att tillämpa lagen, som kammarrätten använder, utan dylikt förekom nog äfven under den tid, då fattigvårdsärenden gingo till högsta domstolen. Jag tror nämligen, att det var under sista tiden, då ärendena gingo dit, som det inträffade, att en kommun, som lämnat understöd åt en </w:t>
      </w:r>
      <w:r>
        <w:rPr>
          <w:b/>
        </w:rPr>
        <w:t>kvinna¹</w:t>
      </w:r>
      <w:r>
        <w:rPr>
          <w:b w:val="0"/>
        </w:rPr>
        <w:t xml:space="preserve"> med åtta barn, icke kunde få tillbaka det lämnade understödet af den kommun, där </w:t>
      </w:r>
      <w:r>
        <w:rPr>
          <w:b/>
        </w:rPr>
        <w:t>kvinnan¹</w:t>
      </w:r>
      <w:r>
        <w:rPr>
          <w:b w:val="0"/>
        </w:rPr>
        <w:t xml:space="preserve"> hade hemortsrätt. Således vill det förefalla mig, som om en något mildare tillämpning i detta afseende skulle vara af högsta behof påkallad.</w:t>
        <w:br/>
        <w:br/>
        <w:t>Däremot hafva ofta framställningar gjorts om en strängare tilllämpning af lagens föreskrifter gent emot försumliga familjeförsörjare. Det är nu ytterst svårt att kunna få en familjeförsörjare, som icke bryr sig om att taga vård om sin familj, dömd till intagande på arbetsinrättning för att på det sättet aftjäna det belopp, som kommunen har måst utgifva för hans familj. Först och främst skall det naturligtvis alltid vara i enlighet med 1 $, som understödet utgått, och sedan skall det visas så många andra omständigheter, att Konungens befallningshafvande mycket ofta har svårt att säga, att en familjeförsörjare skall intagas på arbetsinrättning för att med sitt arbete aftjäna det understöd, som lämnats hans familj. Detta har ju visserligen inga svårare följder med sig än att kommunen själf får vidkännas de kostnader, den haft för denne familj. Men såsom uppfostringsmedel för dylika försumliga familjeförsörjare och deras gelikar är denna kommunernas rätt att kunna få dem dömda till intagande på arbetsinrättning af stor vikt.</w:t>
        <w:br/>
        <w:br/>
        <w:t>Vidare är det den af den förste talaren berörda frågan om stats-</w:t>
        <w:br/>
        <w:br/>
        <w:t>kontroll. Han nämnde — hvilket ju är riktigt — att en person, NM poganatt som är missnöjd öfver att icke hafva fått fattigvård sig tilldelad, öfver den icke kan öfverklaga fattigvårdsstyrelsens beslut på andra grunder än kommurala att vid behandlingen af hans ansökning något formfel blifvit begånget. jattigvården Lagutskottets ärade ordförande påvisade, att Konungens befallnings- = 7. Mm. hafvande, som har till åliggande att öfvervaka fattigvårdens utöfvande, (Forts.) därvidlag kan ingripa. Ja, det kan Konungens befallningshafvande, och jag tror, att Stockholms fattigvårdsstyrelse, som för öfrigt är ganska frikostig vid utdelande af understöd, dock vid några tillfällen fått erfara, att Konungens befallningshafvande ålagt styrelsen att draga försorg om den eller den fattige. Men det är så sällan, som dessa ärenden komma fram till Konungens befallningshafvande. Huru kan man tänka sig, att ett stackars fattighjon — t. ex. en idiot — som förvägrats understöd, skall kunna komma sig för med att anmäla detta hos Konungens befallningshafvande? Det blir i många fall för Konungens befallningshafvande alldeles okändt, att ett sådant negligerande af hvad jag skulle vilja kalla en skyldighet ägt rum. Det blir för Konungens befallningshafvande omöjligt att öfvervaka en sak, om hvilken denna myndighet saknar kännedom.</w:t>
        <w:br/>
        <w:br/>
        <w:t>Allt detta gör, att det förefaller mig, som om det skulle vara högst önskligt, att Kongl. Maj:t bebagade vid första möjliga tillfälle taga denna fråga om hand och att på grund af den skrifvelse, som redan är omnämnd, en fullständig omarbetning af fattigvårdsförordningen måtte företagas, samt att därvid dessa synpunkter -- kontrollen och tillämpningen af fattigvårdsförordningen — också måtte komma under beaktande.</w:t>
        <w:br/>
        <w:br/>
        <w:t>Jag har intet yrkande att göra.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