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38</w:t>
      </w:r>
    </w:p>
    <w:p>
      <w:r>
        <w:rPr>
          <w:b/>
        </w:rPr>
        <w:t xml:space="preserve">Datum: </w:t>
      </w:r>
      <w:r>
        <w:t>1904-04-09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Teofron Säve (–, man)</w:t>
      </w:r>
    </w:p>
    <w:p>
      <w:r>
        <w:rPr>
          <w:b w:val="0"/>
        </w:rPr>
        <w:t xml:space="preserve">Liksom den föregående talaren har äfven jag vid de tillfällen, då denna fråga stått under debatt i kammaren, afgifvit mitt votum för afslag, men jag får bekänna, att sedan jag blifvit satt i tillfälle att följa kyrkomötets förhandlingar sistlidne höst, har min uppfattning blifvit en väsentligt annan. Jag skall i öfverensstämmelse därmed också tillåta mig att nu yrka bifall till lagutskottets hemställan. Men då jag gör detta, ber jag att få förklara, att jag icke gör det på grund af någon särskild hänsyn till dessa s. k. samvetsäktenskap, som den föregående talaren berörde; dessa äktenskap tror ej heller jag hafva framsprungit ur något verkligt djupare behof, men väl ur en böjelse att åstadkomma en i vidsträcktare kretsar förargelseväckande reklam för den ståndpunkt, på hvilken åtskilliga estetiserande reformatorer i våra dagar ställa sig i </w:t>
      </w:r>
      <w:r>
        <w:rPr>
          <w:b/>
        </w:rPr>
        <w:t>kvinnosaksfrågan¹</w:t>
      </w:r>
      <w:r>
        <w:rPr>
          <w:b w:val="0"/>
        </w:rPr>
        <w:t>. Jag tror icke, att de, som vilja ingå dylika förbindelser, i själfva verket hafva den betydelse, att man för deras skull bör utsträcka det fakultativa civiläktenskapet, ty med en sådan utsträckning följer alldeles gifvet ett grumlande hos den stora allmänheten af begreppet om äktenskapets helgd. Jag skall i likhet med den föregående talaren ej heller taga någon hänsyn till lagstiftningen i detta ämne i främmande länder. Jag tror, att utgångspunkten för den moderna lagstiftningen på detta område är att söka i det revolutionära Frankrike och i dess beslut 1792 om ett obligatoriskt civiläktenskap. Med Code Napoléon gick denna lagstiftning ut öfver alla de länder, som voro förenade med Frankrike under det första kejsardömet. Sedan har den gått vidare till andra länder, där blandningen af olika religionsbekännare dock varit vida större än hos oss. Nu frågar</w:t>
        <w:br/>
        <w:br/>
        <w:t>äfven jag mig: hafva nu i dessa länder, där civiläktenskapet införts, vare sig såsom obligatoriskt eller fakultativt, begreppet om äktenskapets helgd blifvit starkare eller fastare? Jag tror det icke, och det tror jag vi kunna öfvertyga oss om litet hvar, om vi erinra oss den skönlitteratur, som under de sista årtiondena utströmmat från Frankrike, och i hvilken man så ofta finner äktenskapsbrottet såsom den egentliga piece de résistance.</w:t>
        <w:br/>
        <w:br/>
        <w:t xml:space="preserve">Jag har nu här framhållit hvad jag har emot civiläktenskapet; men det finnes dock en annan synpunkt, som för mig är bestämmande, och det är hänsynen till prästen och kyrkan. Hänsynen till kyrkan och prästerskapet nödvändiggör nämligen trots allt, som talar däremot, en utsträckning af civiläktenskapet. Prästen är skyldig att såsom kristliga äkta förbund utlysa och med kyrklig vigsel stadfästa förbindelser, om hvilka han väl vet, att de stå i öppen strid med Frälsarens ord i bergspredikan. Man kan lätt tänka sig, huru svårt detta skall vara för en präst, hvars samvete icke tillåter honom att under det allmänna kärleksbudet underordna dessa Frälsarens ord. För honom blir detta gifvetvis en plåga. Men icke nog därmed. Jag tror icke, att det är kyrkan värdigt att ställa prästen i en sådan ställning, att han för att följa kyrkolagens bud måste anse sig handla mot Guds bud, liksom det ej heller kan vara </w:t>
      </w:r>
      <w:r>
        <w:rPr>
          <w:b/>
        </w:rPr>
        <w:t>henne²</w:t>
      </w:r>
      <w:r>
        <w:rPr>
          <w:b w:val="0"/>
        </w:rPr>
        <w:t xml:space="preserve"> värdigt att tvinga prästen att nedkalla </w:t>
      </w:r>
      <w:r>
        <w:rPr>
          <w:b/>
        </w:rPr>
        <w:t>hennes²</w:t>
      </w:r>
      <w:r>
        <w:rPr>
          <w:b w:val="0"/>
        </w:rPr>
        <w:t xml:space="preserve"> välsignelse öfver kontrahenter, som förneka kristendomens fundamentalläror och som själfva blott af nödtvång underkasta sig den kyrkliga vigseln. Vid sista kyrkomötet erinrade den ärade motionären i denna fråga om en bekant tidningsuppsats, däri det talades om män, hvilka, såsom uttrycket lydde, »förbrukade </w:t>
      </w:r>
      <w:r>
        <w:rPr>
          <w:b/>
        </w:rPr>
        <w:t>kvinnor¹</w:t>
      </w:r>
      <w:r>
        <w:rPr>
          <w:b w:val="0"/>
        </w:rPr>
        <w:t xml:space="preserve"> genom att gång efter annan skilja sig från dem och gifta om sig», och han förklarade bestämdt, att han aldrig skulle viga sådana män äfven med risk att blifva suspenderad af det domkapitel, där han själf satt såsom vice ordförande.</w:t>
        <w:br/>
        <w:br/>
        <w:t>Den föregående talaren framhöll, att lagutskottets kläm icke är densamma som kyrkomötets kläm, och det är ju gifvet, att så icke kan vara förhållandet; kyrkomötet såg ju saken företrädesvis från rent kyrklig synpunkt, lagutskottet och motionären från Andra Kammaren betrakta åter frågan såsom en civillagsfråga. För min ' del får jag dock bekänna, att de motiv, som föranleda mig att yrka bifall till lagutskottets hemställan, företrädesvis äro att söka i det senare momentet af kyrkomötets kläm. Jag ber att få fästa herrarnes uppmärksamhet på innehållet i detta moment af klämmen. Mötet önskar sådana bestämmelser, »att icke kyrkans medverkan till äktenskaps afslutande må hos vederbörande presterskap påfordras i de fall, där god kyrklig ordning och kyrkans värdighet skulle därpå lida». Det är äfven härpå motiveringen i kyrkomötets skrifvelse till Kungl. Maj:t går ut. Sålunda får ju Konungen se saken både från Riksdagens synpunkt och från kyrkomötets,</w:t>
        <w:br/>
        <w:br/>
        <w:t xml:space="preserve">och vid sådant förhållande är jag oförhindrad att yrka bifall till Om ändrade lagutskottets hemställan. bestämmelser ang. formen . för äktenskaps Herr Andersson, Axel Gustaf: Den omständigheten, att” afslutande. kyrkomötet i denna fråga nu ställt sig på samma sida, där lag- = (Forts.) utskottet och Riksdagens Andra Kammare redan länge stått, har kommit mig att hoppas, att äfven denna kammare nu skall bifalla lagutskottets hemställan, och jag behåller detta hopp, trots de inlägg, som nu gjorts mot förslaget. Äktenskapets helgd beror väl egentligen mindre på de former, under hvilka det ingås, än på andra faktorer, kärlek, trohet, renhet. Men från social synpunkt är det tydligen af allra största vikt, att de äktenskapliga förbindelserna knytas under af staten godkända former. De svärmande </w:t>
      </w:r>
      <w:r>
        <w:rPr>
          <w:b/>
        </w:rPr>
        <w:t>kvinnoandar¹</w:t>
      </w:r>
      <w:r>
        <w:rPr>
          <w:b w:val="0"/>
        </w:rPr>
        <w:t xml:space="preserve">, som drömma om ett lyckligare äktenskap utan lagstadgade former, skulle helt visst, om drömmen ginge i fullbordan, snart få skåda, hvilken här af olyckor därmed skulle draga in särskildt öfver </w:t>
      </w:r>
      <w:r>
        <w:rPr>
          <w:b/>
        </w:rPr>
        <w:t>kvinnan¹</w:t>
      </w:r>
      <w:r>
        <w:rPr>
          <w:b w:val="0"/>
        </w:rPr>
        <w:t xml:space="preserve"> och barnet. Men då är det enligt min tanke också statens oafvisliga plikt att, såvidt på honom ankommer, tillse, att sådana sociala vådor förekommas, och att sörja för att former för äktenskaps ingående finnas, som af alla kunna anlitas utan hyckleri och utan samvetsnöd. I begreppet samvetsnöd måste väl dock inläggas något mera subjektivt än den näst siste talaren ville tillåta. Men jag kan vara ense med honom däri, att, äfven om civiläktenskap införes, de komma att finnas, som vilja hafva frihet från alla former. Här har förut, då denna fråga behandlats, påståtts, att det skulle vara ett hinder för införande af valfritt civiläktenskap, att i sådant fall den ena formen komme att ringaktas i jämförelse med den andra. Jag tror icke, att detta påstående är berättigadt. Mot den siste ärade talarens ordande om det revolutionära Frankrike skulle jag vilja framhålla exemplet från det konservativa England. Där har ju valfritt civiläktenskap, såvidt jag vet, utan några olägenheter länge varit infördt, och hvar aktar man formerna, om icke i England? Skulle så vara, att den ena formen skulle blifva mindre aktad än den andra, blefve det väl den civila formen, som blefve den minst skattade; men det är väl bättre att använda en form, om också mindre aktad, än ingen form alls. Äfven jag har dock en anmärkning mot motionen och på grund däraf äfven mot skrifvelseförslaget. Jag finner dem icke tillräckligt omfattande. Man har icke tänkt på äktenskap mellan medlemmar af svenska statskyrkan å ena sidan och personer, som hvarken äro medlemmar af denna kyrka, bekännare af främmande kristen troslära eller mosaiska trosbekännare å den andra. För sådana äktenskap finnes nu enligt svensk lag ingen som helst form. Till denna senare grupp af personer måste väl också de hänföras, som genom användande af den s. k. nödlögnsparagrafon utgått ur</w:t>
        <w:br/>
        <w:br/>
        <w:t>Om ändrade svenska statskyrkan utan att sedermera inträda i något främmande faigjgr soa trossamfund. Jag hoppas dock, att, då denna fråga en gång för äktenskaps kommer att upptagas till behandling af regeringen, äfven denna afslutande. sida af saken måtte beaktas, och jag ber att få yrka bifall till</w:t>
      </w:r>
    </w:p>
    <w:p>
      <w:pPr>
        <w:pStyle w:val="Heading2"/>
      </w:pPr>
      <w:r>
        <w:t>2. Gottfrid Billing (Första kammarens protektionistiska parti, man)</w:t>
      </w:r>
    </w:p>
    <w:p>
      <w:r>
        <w:rPr>
          <w:b w:val="0"/>
        </w:rPr>
        <w:t>Då frågan om införande af civiläktenskap senast förelåg till kammarens behandling, uttalade jag den meningen att, om och när civiläktenskap skulle införas, det riktigaste vore att välja den obligatoriska formen. Jag är fortfarande af samma mening, men om jag det oaktadt nu icke längre vill fasthålla denna och på grund däraf framställa något yrkande, beror detta därpå, att under frågans behandling vid kyrkomötet framhölls, att stora praktiska svårigheter, särskildt i vissa delar af vårt land, förefunnos att få personer lämpliga att afsluta ett sådant obligatoriskt civiläktenskap samt att, om man införde den obligatoriska formen, följden däraf skulle, synnerligast i glest befolkade trakter af Norrland, troligen blifva, att många kontrahenter afhölle sig från alla lagliga former och i stället enade sig om att föredraga den friare konkubinatsformen. Det är på grund af dessa rent praktiska svårigheter jag ansett mig böra frångå yrkandet att, om civiläktenskap skulle införas, det borde vara obligatoriskt.</w:t>
        <w:br/>
        <w:br/>
        <w:t>Motionären motiverar sin framställning med att citera kyrkomötets skrifvelse, men det har redan från mera än ett håll påpekats, att det är en stor skillnad mellan motionärens yrkande och kyrkomötets hemställan, och denna skillnad ter sig i all synnerhet stor för den, som varit med vid kyrkomötet. Den, som varit detta, vet nämligen, att det för kyrkomötet i hufvudsak varit de rent kyrkliga synpunkterna, som gjorde att man kunde besluta sig för att begära införande af fakultativt civiläktenskap. För kyrkomötet kunde det icke vara fördoldt, att, därest förhållandena nu verkligen äro sådana att de påkalla civiläktenskapets införande, detta icke är ett tecken till framsteg hos vårt folk utan till motsatsen, ett tecken till att det skulle finnas rätt många personer i vårt land, som icke i den allvarliga stunden för äktenskaps ingående skulle vilja mottaga Guds välsignelse elier därom bedja. Lika litet kunde det för kyrkomötet vara fördoldt, att civiläktenskapets införande ingalunda vore egnadt att stärka äktenskapets helgd eller att kraftigare än hittills framhålla äktenskapets plikter samt dess oupplöslighet. När kyrkomötet det oaktadt begärde det fakultativa civiläktenskapets införande, skedde det för att undkomma de för många alldeles olidliga missförhållanden, som nu uppstå då vigsel begäres i sådana fall, att den tjänstförrättande prästen åtminstone subjektivt kan känna sig i sitt inre djupt upprörd af att skola meddela den begärda vigseln. Man tänkte särskildt på frånskilda makar, i synnerhet sådana som skiljas gång efter annan och hvilka tydligen</w:t>
        <w:br/>
        <w:br/>
        <w:t>betrakta äktenskapet såsom ett slags kontrakt på behaglig tid och hvilka, på sätt nu lär vara modernt, ingå äktenskap för en tid af t. ex. tre eller fem år. Och kanske ännu mera aktade man på den omständigheten, att man vid vigselakten tvingas att bedja till Gud om välsignelse öfver människor såsom hans tjänare, hvilka dock uttryckligen förklara, att de hvarken tro att någon Gud finnes eller med honom vilja hafva något att skaffa. Det var för att förekomma sådana missförhållanden, som kyrkomötet gjorde sin hemställan. Motionären har nu tagit kyrkomötets motivering, men lämnat det stycke af klämmen, hvarpå hela motiveringen går ut.</w:t>
        <w:br/>
        <w:br/>
        <w:t>Om jag nu icke vill för min del afstyrka lagutskottets förslag, sker det under den bestämda förutsättning och förhoppning, att Kungl. Maj:t skall fästa lika mycken vikt vid kyrkomötets skrifvelse som vid Riksdagens eventuella hemställan, och att således de synpunkter, som motionären och lagutskottet här hafva tappat bort, måtte åter uppsökas och blifva beaktade af Kungl. Maj:ts regering. Jag upprepar det, det är uteslutande i denna förhoppning och under denna förutsättning, som jag kan vara med om lagutskottets förslag. När jag det är, kommer jag icke i motsägelse mot mig själf, ehuru jag i kyrkomötet yrkade afslag; ty det gjorde jag hufvudsakligen på den grund, att jag ansåg det icke ligga rätt väl inom kyrkomötets befogenhet att begära civiläktenskapets införande, d. v. s. en ändring på civillagstiltningens område, utan ansåg, att en sådan framställning borde komma från Riksdagen. Såsom frågan nu föreligger, förordad af lagutskottet, har den ju formelit taget kommit från riktigt håll och därmed har den nämda betänkligheten för mig bortfallit.</w:t>
        <w:br/>
        <w:br/>
        <w:t>Om jag nu frågar, hvad följden månde blifva af det fakultativa civiläktenskapets införande, har det icke kunnat undgå min uppmärksamhet och förvåning att se särskildt uti pressen uttalas de mest storartade förhoppningar rörande frukterna af en sådan åtgärd. Man har till och med gått så långt, att man synes förvänta, att snart sagt alla de i vår tid så öfverklagade missförhållandena på det äktenskapliga området skola häfvas i och med införandet af det fakultativa civiläktenskapet. För min del föreställer jag mig, att följderna däraf skola blifva ganska obetydliga. Jag är fullt förvissad därom, att den allra största delen af vårt svenska tolk såväl i staden som på landet, och framför allt på landet, skall fortfarande såsom hittills begära och önska att vid äktenskaps ingående få detta bekräftadt medelst kyrklig vigsel. Så skola nog de allra flesta om icke alla göra, hvilka ännu tro på Guds välsignelse såsom en makt i lifvet och såsom en verklighet, men äfven sådana, om hvilka man kunde tänka sig, att de ej skulle önska någon kyrklig vigsel eller sådana, i afseende å hvilka man från kyrklig synpunkt helst såge att de icke begärde den, jag tror att äfven dessa komma att i många fall begära kyrklig vigsel. Ty,</w:t>
        <w:br/>
        <w:br/>
        <w:t>Om ändrade mina herrar, dessa äktenskapskontrahenter, vid hvilkas äktenskap-</w:t>
        <w:br/>
        <w:br/>
        <w:t>liga förening det bättre sedliga medvetandet sätter frågetecken, känna nog ett behof och en önskan att få sin förbindelse så hög-</w:t>
        <w:br/>
        <w:br/>
        <w:t>bindelserna i sig själfva äro så högst tvifvelaktiga.</w:t>
        <w:br/>
        <w:br/>
        <w:t>Om jag nu tänker på motionären och den klass af svenska medborgare han represenserar och från hvilken utgått upprepade framställningar om civiläktenskaps införande — jag kan ju få benämna dem de frireligiösa — tror jag, att icke heller från deras sida civiläktenskapet torde komma att så synnerligen mycket anlitas. Åtminstone är min erfarenhet den, att man äfven på det hållet, då det gäller vigsel, hellre önskar den kyrkliga formen än någon annan, och ett bevis därför är den för några år sedan genomförda lagförändringen, som berättigade sådana att erhålla kyrklig vigsel, som förut icke varit därtill berättigade.</w:t>
        <w:br/>
        <w:br/>
        <w:t xml:space="preserve">Och så kommer jag till den tredje gruppen, den, som jag vill hoppas icke allt för mångtaliga men så mycket mer bullrande gruppen, dessa, hvilka betrakta och behandla äktenskaps ingående på ett så förunderligt lättsinnigt eller lättvindigt sätt. Dessa hafva avancerat längre, än att lagen om det fakultativa civiläktenskapet skulle kunna hejda dem. Det är icke endast och icke djupast och icke i första hand mot den kyrkliga vigseln som deras opposition utgår, den riktar sig lika mycket mot allt hvad den borgerliga ordningen i detta hänseende föreskrifver. Dessa förbindelser ingås så där lösligt icke därför, åtminstone icke i alla eller i de flesta fall, att man har något särskildt emot den kyrkliga vigseln såsom sådan, utan därför att man icke vill vara med om äktenskapet såsom en för lifvet gällande förbindelse med kraf på obrottslig trohet. Mina herrar, jag kan ej underlåta att begagna detta tillfälle för att fästa eder uppmärksamhet på och lägga på edra samveten det faktum, att å det ifrågavarande området råder en den mest förvånande och förfärande förvildning. Jag läste nyligen i någon stockholmstidning en uppsats af en känd </w:t>
      </w:r>
      <w:r>
        <w:rPr>
          <w:b/>
        </w:rPr>
        <w:t>kvinnlig¹</w:t>
      </w:r>
      <w:r>
        <w:rPr>
          <w:b w:val="0"/>
        </w:rPr>
        <w:t xml:space="preserve"> författarinna, hvaruti </w:t>
      </w:r>
      <w:r>
        <w:rPr>
          <w:b/>
        </w:rPr>
        <w:t>hon²</w:t>
      </w:r>
      <w:r>
        <w:rPr>
          <w:b w:val="0"/>
        </w:rPr>
        <w:t xml:space="preserve"> klagar öfver en sorts litteratur, som </w:t>
      </w:r>
      <w:r>
        <w:rPr>
          <w:b/>
        </w:rPr>
        <w:t>hon²</w:t>
      </w:r>
      <w:r>
        <w:rPr>
          <w:b w:val="0"/>
        </w:rPr>
        <w:t xml:space="preserve"> betecknande nog benämner </w:t>
      </w:r>
      <w:r>
        <w:rPr>
          <w:b/>
        </w:rPr>
        <w:t>kvinnlig¹</w:t>
      </w:r>
      <w:r>
        <w:rPr>
          <w:b w:val="0"/>
        </w:rPr>
        <w:t xml:space="preserve"> rännstenslitteratur. Denna </w:t>
      </w:r>
      <w:r>
        <w:rPr>
          <w:b/>
        </w:rPr>
        <w:t>kvinnliga¹</w:t>
      </w:r>
      <w:r>
        <w:rPr>
          <w:b w:val="0"/>
        </w:rPr>
        <w:t xml:space="preserve"> rännstenslitteratur öfversvämmar för närvarande vårt folk och den tränger in eller försöker tränga in äfven i de hem, där man är mån om att utestänga dylik litteratur. Och hvad är det utmärkande för dessa litterära alster? Jo, mina herrar, det är att det icke finnes någonting af det som vi hafva af gudomlig och mänsklig lag lärt oss att i detta hänseende betrakta och anse såsom rätt eller orätt, som får stå fast. Man ej blott ursäktar och försvarar, utan man tillråder och uppmanar till alla slag af brott i fråga om detta område, till hvarje slag af förseelse mot gudomlig och mänsklig ordning. Äktenskapsbrott försvaras och tillrådas, och förbindelser mellan man och </w:t>
      </w:r>
      <w:r>
        <w:rPr>
          <w:b/>
        </w:rPr>
        <w:t>kvinna¹</w:t>
      </w:r>
      <w:r>
        <w:rPr>
          <w:b w:val="0"/>
        </w:rPr>
        <w:t xml:space="preserve"> tillrådas och anbefallas, hvilka, bedömda efter vanliga mänsk-</w:t>
        <w:br/>
        <w:br/>
        <w:t xml:space="preserve">liga känslor, alldeles icke bära något spår af idealitet, utan mycket Om ändrade mera närma sig till sådant, som vi pläga betrakta såsom djuriskt. bestämmelser Sådana litteraturalster äro så mycket mer betecknande, då de utför illenskene gått från </w:t>
      </w:r>
      <w:r>
        <w:rPr>
          <w:b/>
        </w:rPr>
        <w:t>kvinnliga¹</w:t>
      </w:r>
      <w:r>
        <w:rPr>
          <w:b w:val="0"/>
        </w:rPr>
        <w:t xml:space="preserve"> författare — ty det betyder mera, då en" afslutande&gt; </w:t>
      </w:r>
      <w:r>
        <w:rPr>
          <w:b/>
        </w:rPr>
        <w:t>kvinna¹</w:t>
      </w:r>
      <w:r>
        <w:rPr>
          <w:b w:val="0"/>
        </w:rPr>
        <w:t xml:space="preserve"> kan skrifva sådant, än när en man det gör. — Och herrarne = (Forts. må icke tro, att denna litteratur ej utöfvar någon verkan i lifvet. Tvärtom, man tillämpar råden direkte, och ehuru jag väl kunde</w:t>
        <w:br/>
        <w:br/>
        <w:t>hafva något att därom berätta, vill jag dock icke anföra ej offentliggjorda exempel på huru dessa råd blifvit bokstafligen följda.</w:t>
        <w:br/>
        <w:br/>
        <w:t>Men vi hafva exempel, som äro offentliggjorda. Man har redan</w:t>
        <w:br/>
        <w:br/>
        <w:t>här i dag mera än en gång talat om ett bekant s. k. samvetsäktenskap, jag skall icke yttra mig om det enskilda fallet, men</w:t>
        <w:br/>
        <w:br/>
        <w:t>hvad som för mig betyder ofantligt mycket mera, det är, att när</w:t>
        <w:br/>
        <w:br/>
        <w:t>man ingår en sådan förbindelse och tillkännagifver det, så kan</w:t>
        <w:br/>
        <w:br/>
        <w:t xml:space="preserve">från rikets högskolor af hundratals unga män och </w:t>
      </w:r>
      <w:r>
        <w:rPr>
          <w:b/>
        </w:rPr>
        <w:t>kvinnor¹</w:t>
      </w:r>
      <w:r>
        <w:rPr>
          <w:b w:val="0"/>
        </w:rPr>
        <w:t xml:space="preserve"> sändas</w:t>
        <w:br/>
        <w:br/>
        <w:t>en adress med detta innehåll: »det har dessutom hos oss fram-</w:t>
        <w:br/>
        <w:br/>
        <w:t>kallat ett starkt behof att för eder uttala vår sympati, liksom ock</w:t>
        <w:br/>
        <w:br/>
        <w:t>vår tacksamhet för det praktiskt betydelsefulla steg ni, helt visst</w:t>
        <w:br/>
        <w:br/>
        <w:t>med stor personlig uppoffring, tagit, hvarigenom ni kraftigare än</w:t>
        <w:br/>
        <w:br/>
        <w:t>de flesta torde ha bidragit till en för vårt land och folk värdigare</w:t>
        <w:br/>
        <w:br/>
        <w:t xml:space="preserve">tingens ordning i förhållandet mellan </w:t>
      </w:r>
      <w:r>
        <w:rPr>
          <w:b/>
        </w:rPr>
        <w:t>kvinna¹</w:t>
      </w:r>
      <w:r>
        <w:rPr>
          <w:b w:val="0"/>
        </w:rPr>
        <w:t xml:space="preserve"> och man». Att man</w:t>
        <w:br/>
        <w:br/>
        <w:t>med hundratals underskrifter från ungdomen vid våra högskolor</w:t>
        <w:br/>
        <w:br/>
        <w:t xml:space="preserve">uttalat sin tacksamhet för ett dylikt kraftigt bidrag till genomförandet af »ett värdigare förhållande mellan man och </w:t>
      </w:r>
      <w:r>
        <w:rPr>
          <w:b/>
        </w:rPr>
        <w:t>kvinna¹</w:t>
      </w:r>
      <w:r>
        <w:rPr>
          <w:b w:val="0"/>
        </w:rPr>
        <w:t>»&gt;,</w:t>
        <w:br/>
        <w:br/>
        <w:t>det betyder något, och när man vidare ser, att dessa namn till</w:t>
        <w:br/>
        <w:br/>
        <w:t xml:space="preserve">stor del tillhöra från allvarliga hem utgångna unga män och </w:t>
      </w:r>
      <w:r>
        <w:rPr>
          <w:b/>
        </w:rPr>
        <w:t>kvinnor¹</w:t>
      </w:r>
      <w:r>
        <w:rPr>
          <w:b w:val="0"/>
        </w:rPr>
        <w:t>,</w:t>
        <w:br/>
        <w:br/>
        <w:t>som nog äro sådana, åtminstone många ibland dem, att de icke</w:t>
        <w:br/>
        <w:br/>
        <w:t>för sin egen personliga del skulle vilja vara med om någonting</w:t>
        <w:br/>
        <w:br/>
        <w:t>dylikt, då finner man, hvart opinionen leder och huru den drager</w:t>
        <w:br/>
        <w:br/>
        <w:t>folk med sig. För att anföra ännu ett exempel på huru opinionen</w:t>
        <w:br/>
        <w:br/>
        <w:t>i denna sak kan framträda, skall jag läsa upp ett referat ur en</w:t>
        <w:br/>
        <w:br/>
        <w:t>tidning. Jag skall icke nämna hvarken tidningens namn ej heller</w:t>
        <w:br/>
        <w:br/>
        <w:t xml:space="preserve">platsen, som omtalas. Referatet afser ett möte af en </w:t>
      </w:r>
      <w:r>
        <w:rPr>
          <w:b/>
        </w:rPr>
        <w:t>kvinnoförening¹</w:t>
      </w:r>
      <w:r>
        <w:rPr>
          <w:b w:val="0"/>
        </w:rPr>
        <w:t>,</w:t>
        <w:br/>
        <w:br/>
        <w:t>där en folkskollärare uppträdde och bland annat yttrade följande:</w:t>
        <w:br/>
        <w:br/>
        <w:t xml:space="preserve">»att många män och </w:t>
      </w:r>
      <w:r>
        <w:rPr>
          <w:b/>
        </w:rPr>
        <w:t>kvinnor¹</w:t>
      </w:r>
      <w:r>
        <w:rPr>
          <w:b w:val="0"/>
        </w:rPr>
        <w:t xml:space="preserve"> med vaket samvete måste hysa betänkligheter, när det gäller att vid äktenskapets ingående svära hvarandra trohet för lifvet, är ju tydligt, så föränderliga som människornas känslor äro. Men sådana personer ställas genom vår lagstiftning i valet mellan att handla emot sin öfvertygelse och</w:t>
        <w:br/>
        <w:br/>
        <w:t>ingå det af staten legaliserade äktenskapet antingen genast — eller</w:t>
        <w:br/>
        <w:br/>
        <w:t>— vid lifvets slut, då de båda kontrahenternas kärlek visat sig</w:t>
        <w:br/>
        <w:br/>
        <w:t xml:space="preserve">bestå profvet att vara för lifvet. En tredje utväg finnes dock — samvetsäktenskapet». När i en </w:t>
      </w:r>
      <w:r>
        <w:rPr>
          <w:b/>
        </w:rPr>
        <w:t>kvinnoförening¹</w:t>
      </w:r>
      <w:r>
        <w:rPr>
          <w:b w:val="0"/>
        </w:rPr>
        <w:t xml:space="preserve"> en folkskollärare</w:t>
        <w:br/>
        <w:br/>
        <w:t>kan häfda den satsen, att det är en förlegad uppfattning att i af-</w:t>
        <w:br/>
        <w:br/>
        <w:t>seende å äktenskapet lofva hvarandra och hålla trohet för lifvet,</w:t>
        <w:br/>
        <w:br/>
        <w:t>då ser man, hur långt vi kommit på den slippriga vägen. Det är</w:t>
        <w:br/>
        <w:br/>
        <w:t>Pg nd hela frågan om äktenskapet. Jag skall ifrån min erfarenhet under</w:t>
        <w:br/>
        <w:br/>
        <w:t xml:space="preserve">föräktenskaps de sista månaderna blott anföra två exempel. Det ena: en </w:t>
      </w:r>
      <w:r>
        <w:rPr>
          <w:b/>
        </w:rPr>
        <w:t>hustru²</w:t>
      </w:r>
      <w:r>
        <w:rPr>
          <w:b w:val="0"/>
        </w:rPr>
        <w:br/>
        <w:br/>
        <w:t>ni skratta, men detta är ett faktum; liksom ock att skilsmässan</w:t>
        <w:br/>
        <w:br/>
        <w:t>beviljades. Det andra exemplet på, huru lättsinnet har gripit om-</w:t>
        <w:br/>
        <w:br/>
        <w:t>kring sig, gäller ett par, som ingenting hade emot att vigas kyrk:-</w:t>
        <w:br/>
        <w:br/>
        <w:t>ligt; men så hade det gått upp i deras hufvuden, att det skulle</w:t>
        <w:br/>
        <w:br/>
        <w:t>vara olämpligt eller oriktigt eller obehagligt, eller hvad det nu</w:t>
        <w:br/>
        <w:br/>
        <w:t>kunde vara, att det skulle lysas för dem i kyrkan. Det var således</w:t>
        <w:br/>
        <w:br/>
        <w:t>icke den kyrkliga vigseln, som de drogo sig för, utan för lysningen;</w:t>
        <w:br/>
        <w:br/>
        <w:t>och så reste de till Köpenhamn för att blifva vigda, hvarefter de</w:t>
        <w:br/>
        <w:br/>
        <w:t>kommo tillbaka hit, och så var det mycket krångel, huru det äktenskapet borde anses.</w:t>
        <w:br/>
        <w:br/>
        <w:t>Ja, jag anför detta endast såsom ett bevis på, huru förfärligt lättsinnigt man behandlar dessa saker. Jag gör dock detta nu icke blott för att stå här och klaga, ehuru jag verkligen skulle vilja klaga så högljudt öfver dessa saker, att det kunde gripa människors sinnen, utan jag gör det äfven därför att jag anser, att uti det nu anförda ligger ett bestämdt motiv för nödvändigheten af att man icke stannar vid införandet af ett fakultativt civiläktenskap, utan att denna förändring bör sättas i sammanhang med en mycket mera omfattande förändring utaf hela vår äktenskapslagstiftning. Den här föreliggande frågan kan eller bör eller får icke behandlas enbart för sig, utan den bör ställas i samband med en hel mängd andra frågor. Ja, jag menar, att vi icke endast skola begära en sådan lagförändring, som går i riktning att göra det lätt att skiljas åt etc., utan vi skola på samma gång begära en lagstiftning, som genom andra, mera tidsenliga än nu gällande former och medel ger fasthet och stadga åt de äktenskapliga förbindelserna. Ty därom äro vi väl ändock alla ense, att det väl knappast är något fördärf, som mera tär på själfva rötterna för vårt sambhällslif, än om äktenskapet blir på detta sätt alldeles upplöst till sitt väsen. Att det behöfves en allmän förändring i lagstiftningen rörande äktenskapet, det känner den bäst, som i likhet med mig får sitta och pröfva ansökningar om äktenskapsupplösningar. Vi hafva ju de tvenne formerna för äktenskapsupplösning. Den ena är, då domstol dömer. Det härvid vanligast förekommande skälet är det egenvilliga öfvergifvandet. Det är ju alldeles orimligt, att en människa kan resa öfver t. ex. från Malmö till Köpenhamn, därifrån gifva intyg öfver att han icke ämnar återvända för att fortsätta äktenskapet, och så inom 14 dagar af domstol få utslaget, att äktenskapet skall upplösas, och detta sker i öfverensstämmelse åtminstone med gällande lagskipningspraxis.</w:t>
        <w:br/>
        <w:br/>
        <w:t>Den andra formen för att erhålla skillnad i äktenskap är att</w:t>
        <w:br/>
        <w:br/>
        <w:t>af Kungl. Maj:t begära äktenskapets upplösning. För denna pro- Om ändrade cedur gäller följande ordning: först varning för pastor, så varning Pestämmelser inför kyrkorådet, därefter dömes till skillnad till säng och säte för för äktenskaps ett år, och slutligen kan Konungen, om han så vill, tillåta, att” afslutande. äktenskapet upplöses. Men huru går det nu till? Dessa varningar (Forts) hafva ju naturligtvis afsett att vara medel till att förhindra äktenskapsupplösning, men huru användas de? Jo, för att komma hastigare till upplösningen, går man till prästen och säger: vi anhålla att blifva varnade. Det har till och med händt, att prästen sagt: nej, det gör jag icke, och då har prästen blifvit åtalad, för att han icke velat varna dem. Det är ett faktum, att så sker, och det upprepas ständigt, att varningarna användas som medel till att erhålla upplösning; men detta är ju en ren parodi, som omöjligen kan få stå kvarl Därefter dömes till skillnad till säng och säte, och därvid hafva, visserligen alltid icke alla, men dock många domstolar gått in på den vägen, att de icke fordra vittnesförhör eller något bevis för öfrigt, utan nöja sig med att kontrahenterna säga: vi tycka så illa om hvarandra, vi hysa sådant hat och bitterhet emot hvarandra, att vi icke kunna fortsätta äktenskapet. Det dömes då utan vidare till skillnad till säng och säte för ett år, och därefter går ärendet till Kungl. Maj:t. Längre kan jag icke följa det. Vill dock påpeka, att det är en oegentlighet, att de underordnade myndigheter, som hafva haft att behandla äktenskapsskillnadsmål i de förberedande stadierna, aldrig få underrättelse om huru ärendet afgöres i den högsta instansen och således icke heller därigenom få ledning för sitt sätt att bandlägga ärendet. Syftet med hvad jag sist anfört är att med all den kraft, jag det kan, accentuera, att åtgärder med anledning af Riksdagens eventuella begäran om civiläktenskap icke måtte inskränkas till upptagande af denna enskilda punkt af äktenskapslagstiftningen. Man bör taga hela denna lagstiftning eller åtminstone hela afdelningen af densamma före i ett sammanhang, och det yrkar jag på så mycket kraftigare, som Riksdagen år 1899 därom har i skrifvelse till Konungen anhållit och som kyrkomötet i fjol har instämt uti och förnyat denna Riksdagens anhållan. Det är under förhoppning och under förutsättning af att Kungl. Maj:t med anledning at denna Riksdagens framställning ville låta anställa en granskning och reformering af vår äktenskapslagstiftning, och att därvid all uppmärksamhet skänkes åt de synpunkter, som 1903 års kyrkomöte framböll, som jag för min del skall yrka bifall till lagutskottets förslag.</w:t>
      </w:r>
    </w:p>
    <w:p>
      <w:pPr>
        <w:pStyle w:val="Heading2"/>
      </w:pPr>
      <w:r>
        <w:t>3. Hjalmar Palmstierna (Nya lantmannapartiet, man)</w:t>
      </w:r>
    </w:p>
    <w:p>
      <w:r>
        <w:rPr>
          <w:b w:val="0"/>
        </w:rPr>
        <w:t>Det är naturligtvis mycket svårt för mig att uppträda efter den föregående högt ärade talarens framställning, ehuru han efter min tanke gaf åtskilliga skäl emot bifall till lagutskottets förslag. Då jag emellertid anhållit om ordet och</w:t>
        <w:br/>
        <w:br/>
        <w:t>Om ändrade tillåter mig att hysa en annan tanke än de tre sista ärade talarne, bestimmelser så skall jag be att få med några ord omnämna mina åsikter. fördiktenskap Här har nu lagutskottet framkommit med ett förslag på grund ps sö s 3 s afslutande. Af herr Byströms motion. Detta är en motion, som flera gånger Forts) — framkommit från det frireligiösa hållet och som i fjol afslogs af Första Kammaren mot en minoritet af omkring 30 röster. Motionen har nu återkommit, och man anför nu som skäl för att bifalla densamma det förändrade läge, hvari frågan kommit med anledning al kyrkomötets framställning.</w:t>
        <w:br/>
        <w:br/>
        <w:t>Frågan är då först den: hvad är det kyrkomötet egentligen har gjort? Jo, såsom min uppfattning får jag säga, att kyrkomötet icke alls ställt sig på någon liberal ståndpunkt, ty kyrkomötet har visserligen, såsom det står å sid. 6, anhållit om fakultativt civiläktenskap, men äfven anhållit, »att därvid sådana bestämmelser tillika varda meddelade, att icke kyrkans medverkan till äktenskaps afslutande må hos vederbörande prästerskap påfordras i de fall, där god kyrklig ordning och kyrkans värdighet skulle därpå lida». När man läser igenom denna motivering, därvid kyrkomötet hufvudsakligen fäst sig vid kyrkans värdighet och prästens samvetsnöd, så förefaller det icke alls såsom något liberalt tillmötesgående af yrkandena från frireligiöst håll. Motionären har emellertid väl aktat sig för detta tillägg, och lagutskottet har icke heller tagit det med, utan det är här endast fråga om det fakultativa civiläktenskapet — således efter min uppfattning till en viss grad motsatsen till hvad kyrkomötet har begärt.</w:t>
        <w:br/>
        <w:br/>
        <w:t>Den mening, som kyrkomötet här uttryckt i de sista raderna, torde för öfrigt höra till de fromma önskningarna, ty icke kan jag föreställa mig, att lagutskottet och Andra Kammaren beträffande det fakultativa civiläktenskapet vilja vara med om, att det skall bero på prästen eller kyrkan att säga nej till kyrklig vigsel. Det lärer man icke kunna gå in på, synnerligast som kyrkomötet själft säger, att det beträffande exempelvis frånskilda makar stundom kan finnas sådana personer, »som intet ondt gjort, utan blott vore djupt beklagansvärda människor, värda både samhällets och de enskildes kärleksfulla deltagande». Om dylika personer skulle komma och säga: vi vilja hafva kyrklig vigsel, skulle då prästen kunna säga nej? Den lagstiftningen blir det ingenting utaf med, och denna kyrkomötets framställning synes mig därför icke utgöra någon grund för att påstå, att ärendet nu kommit i något ändradt läge.</w:t>
        <w:br/>
        <w:br/>
        <w:t>” Det är emellertid icke från kyrkans sida, som frågan om det fakultativa civiläktenskapet framkommit, utan från frireligiöst håll. De därifrån uttalade önskningarna äro ju mycket högljudda, och man hör och ser dem ofta.</w:t>
        <w:br/>
        <w:br/>
        <w:t>Frågan är då: huru många äro dessa personer, som yrka på införandet af civiläktenskap och att slippa den kyrkliga vigseln?</w:t>
        <w:br/>
        <w:br/>
        <w:t xml:space="preserve">Jag kan naturligtvis icke gissa, huru många de äro, men när man Öm ändrade vet, att det egentligen icke äro </w:t>
      </w:r>
      <w:r>
        <w:rPr>
          <w:b/>
        </w:rPr>
        <w:t>kvinnorna¹</w:t>
      </w:r>
      <w:r>
        <w:rPr>
          <w:b w:val="0"/>
        </w:rPr>
        <w:t>, utan männen, som hafva Ung ormen dessa önskningar, så torde 50,000 vara ett mycket högt tal. 50,000, för aklenskape det är 1 procent af Sveriges befolkning. ” afslutande. Jag ställer då för mig den frågan: om denna 1 procent får Forts.) denna s. k. fördel, är icke detta till nackdel för de 99 procenten? Det är dessa 99 procents talan, som jag skulle vilja föra, ty om man inför det fakultativa civiläktenskapet, så likställer man ju den civila äktenskapsformen med den kyrkliga vigseln. Därigenom nedsättes äktenskapets helgd, och det blir endast fråga om ett kontrakt. Ett kontrakt bör ju hvarje hederlig människa hålla, så länge det varar, men det finnes naturligtvis icke det ringaste hinder för att, om de båda kontrahenterna vilja upplösa kontraktet, detta då kan ske utan vidare. Man nedsätter därför efter min tanke äktenskapets helighet. Bland den stora massan af vårt folk är dock ännu uppfattningen om äktenskapet såsom ett heligt förbund fortfarande gällande, och då det för staten är så ytterst viktigt, att äktenskapet hålles i helgd, så vill jag för min del visst icke bidraga till att rubba denna uppfattning, hvarför jag också, herr grefve och talman, anhåller om afslag på utskottets framställning.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