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979</w:t>
      </w:r>
    </w:p>
    <w:p>
      <w:r>
        <w:rPr>
          <w:b/>
        </w:rPr>
        <w:t xml:space="preserve">Datum: </w:t>
      </w:r>
      <w:r>
        <w:t>1905-03-15</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Hugo Segerdahl (Liberala samlingspartiet, man)</w:t>
      </w:r>
    </w:p>
    <w:p>
      <w:r>
        <w:rPr>
          <w:b w:val="0"/>
        </w:rPr>
        <w:t>Herr talman! Då min ärade kamrat på göteborgsbänken här framhållit såsom skäl sin personliga erfarenhet, så ber jag att få för kammaren nämna, att vi båda suttit precis lika många år såsom ordinarie ledamöter i samma domstol, fastän mestadels på skilda afdelningar, som dock haft lika behörighet med afseende å upptagande af sjöförklaringar. Erfarenhet kan väl sålunda få stå emot erfarenhet.</w:t>
        <w:br/>
        <w:br/>
        <w:t>Det finnes ett stadgande, berörande ifrågavarande sak, hvilket under diskussionen ännu icke, så vidt jag hört, blifvit omnämndt, och det är det stadgandet, att sjöförklaring kan upptagas redan dagen efter det anmälan därom gjorts till rättens ordförande. Skulle nu underrättelse till kommerskollegium afsändas, kunde det mycket väl inträffa, att den komme fram först efter det sjöförklaringen afgifvits. Hvad tjänar i sådant fall denna underrättelse till?</w:t>
        <w:br/>
        <w:br/>
        <w:t>Det har sagts, att kommerskollegium skulle beredas större möjlighet att öfvervaka att sjötörklaringar blefve redan från början mera fullständiga, då man finge det sjötekniska biträdet, som skulle hjälpa till med detta öfvervakande. Men herrarna skola komma ihåg, att, som Kungl. Maj:t upplyst, då det gällde anslag till det sjötekniska biträdet, de sjöförklaringar, som till kommerskollegium inkomma, gå i medeltal till mera än 200 om året. Jag</w:t>
        <w:br/>
        <w:br/>
        <w:t>5 (Mörtag omtalade fullständighet. Herr talman, jag ber att få vidhålla mitt förut gjorda yr-</w:t>
        <w:br/>
        <w:br/>
        <w:t xml:space="preserve">Till lärarebefattningar vid de allmänna läroverken och vid universiteten, de teologiska läraretjänsterna vid de sistnämnda likväl undantagna, såsom ock till lärareoch andra beställningar vid andra inrättningar för vetenskap, slöjd eller skön konst, äfvensom till läkarebefattningar må i den ordning, som ofvan sagts, utnämnas och befordras äfven infödda svenska </w:t>
      </w:r>
      <w:r>
        <w:rPr>
          <w:b/>
        </w:rPr>
        <w:t>kvinnor¹</w:t>
      </w:r>
      <w:r>
        <w:rPr>
          <w:b w:val="0"/>
        </w:rPr>
        <w:t>; Konungen vare ock obetaget att, efter vederbörandes hörande, eller uppå deras framställning, till dessa ämbeten och tjänster, lärarebefattningarna vid de allmänna läroverken dock undantagna, kalla och befordra utländske män af utmärkt förtjänst, de där den rena evangeliska läran bekänna.</w:t>
      </w:r>
    </w:p>
    <w:p>
      <w:pPr>
        <w:pStyle w:val="Heading2"/>
      </w:pPr>
      <w:r>
        <w:t>2. Karl Staaff (Liberala samlingspartiet, man)</w:t>
      </w:r>
    </w:p>
    <w:p>
      <w:r>
        <w:rPr>
          <w:b w:val="0"/>
        </w:rPr>
        <w:t xml:space="preserve">Herr talman, mina herrar! Såsom herrarne hafva utaf det nu föreliggande utlåtandet funnit, så hafva sju reservanter ifrån denna kammare skilt sig ifrån utskottets beslut; detta dock icke i hufvudsaken, ty i själfva saken ha samtliga utskottsledamöter efter ganska vidlyftiga öfverläggningar enat sig om, för att få någonting fram, att gå på den väg, som utskottets utlåtande nu utstakar, nämligen att i grundlagen öppna möjlighet för </w:t>
      </w:r>
      <w:r>
        <w:rPr>
          <w:b/>
        </w:rPr>
        <w:t>kvinnor¹</w:t>
      </w:r>
      <w:r>
        <w:rPr>
          <w:b w:val="0"/>
        </w:rPr>
        <w:t xml:space="preserve"> till vissa statstjänster, men att öfverlåta de närmare bestämmelser och villkor, hvarunder detta skulle ske, till bestämmande i annan form. Den punkt, hvari vi reservanter skilt oss från utskottet, är en rent formell punkt. Under det att utskottet använder uttryckssättet »&gt;grunder, som af Konung och Riksdag gemensamt fastställas», föreslå vi uttryckssättet »grunder, som fastställas i särskild af Konung och Riksdag gemensamt stiftad lag eller i samband med statsregleringens uppgörande bestämmas». Det synes oss nämligen, att det uttryck, som utskottet begagnat, icke är ett fullt lämpligt och korrekt uttryck, då därigenom under en och samma formel sammanfattas två så olika, så väsentligt skilda procedurer som Konungs och Riksdags gemensamma lagstiftningsmakt å den ena sidan och statsregleringsmakten å den andra sidan. Vi befara, att</w:t>
        <w:br/>
        <w:br/>
        <w:t>ifall man i detta afseende icke vinnlägger sig om ett fullständigt Angående korrekt uttryckssätt, kan man möjligen i en framtid komma att Fndrad lydelse förvänta misstolkningar utaf detta uttryck, som då skulle kunna Te begagnas till stöd för en annan uppfattning utaf Riksdagens rätt = (Forts.) till statsreglering än den, som denna kammare alltid har upprätthållit. Man skulle särskildt kunna tänka sig, att ett uttryckssätt, sådant som det utskottet begagnat, möjligen skulle kunna åberopas för en villomening, som alltid varit af denna kammare bestridd, att icke Riksdagen ensam skulle kunna indraga ett beviljadt anslag. Ty då det skulle heta »gemensamt fastställas af Konung och Riksdag» om ett villkor, som helt och hållet ingår i statsregleringen, kunde ju den tanken möjligen ligga nära till hands, att man säger: ja, men ett sådant uttryck skulle ju alltid kunnat användas, ifall man ansett, att Riksdagen utan vidare kunde häfva och utan villkor indraga anslag. Men detta, att Riksdagen har makt att indraga anslag, har denna kammare alltid hållit på, och det tror jag och hoppas, att den fortfarande skall göra. Jag tror icke, att från någon sida man egentligen kan vara missnöjd med den försiktighet, som reservanterna hafva låtit leda sig utaf vid sin formulering af uttryckssättet. Det är icke så, att under det att reservanterna se en fara i konstitutionsutskottets formulering, så kan någon af utskottets mening se en fara i reservanternas formulering, utan det är endast så, att man möjligen från vissa håll skulle kunna anse, att det är en öfverdrifven försiktighet, som här ledt reservanterna. För min del tror jag dock, att ingen försiktighet egentligen är öfverdrifven, när det gäller att söka vinna en precis formulering åt en så viktig grundlagsbestämmelse, som här är i fråga, och skulle genom en sådan precis formulering undvikas alla eljest lätt uppkommande möjligheter till försök att störa den folkrepresentativa statsmaktens rättigheter uti ett bland dess viktigaste hänseenden. På dessa i korthet anförda skäl anhåller jag således att få yrka afslag å utskottets hemställan och bifall till reservanternas förslag. Jag vill endast tillägga, att ingen bör frukta, att af bifall till reservanternas förslag skulle kunna följa hela frågans fall. Det har redan blifvit uttaladt i dag i Första Kammaren, att otvifvelaktigt en sammanjämkning skall kunna vinnas emellan utskottets och reservanternas förslag, och därom är jag också för min del fullkomligt öfvertygad. Jag ber således, herr talman, att få yrka bifall till reservanternas förslag.</w:t>
      </w:r>
    </w:p>
    <w:p>
      <w:pPr>
        <w:pStyle w:val="Heading2"/>
      </w:pPr>
      <w:r>
        <w:t>3. Robert Darin (–, man)</w:t>
      </w:r>
    </w:p>
    <w:p>
      <w:r>
        <w:rPr>
          <w:b w:val="0"/>
        </w:rPr>
        <w:t xml:space="preserve">Herr talman, mina herrar! I likhet med motionärerna, herrar Trygger och Zetterstrand, har utskottet tänkt, att tiden väl kunde vara inne att utsträcka det område, inom hvilket </w:t>
      </w:r>
      <w:r>
        <w:rPr>
          <w:b/>
        </w:rPr>
        <w:t>kvinnor¹</w:t>
      </w:r>
      <w:r>
        <w:rPr>
          <w:b w:val="0"/>
        </w:rPr>
        <w:t xml:space="preserve"> äga rätt till anställning i statens tjänst, så att sådan anställning kunde ifrågakomma äfven beträffande tjänster, å hvilka</w:t>
        <w:br/>
        <w:br/>
        <w:t xml:space="preserve">Konungen utfärdar fullmakt. Men utskottet har dock icke ansett "lämpligt att göra denna utsträckning så omfattande som motionärerna ” funnit önskvärdt. Utskottet har trott, att det väl kan vara skäl att icke gå längre, än att man kan ha god ledning af redan vunnen erfarenhet med afseende å </w:t>
      </w:r>
      <w:r>
        <w:rPr>
          <w:b/>
        </w:rPr>
        <w:t>kvinnans¹</w:t>
      </w:r>
      <w:r>
        <w:rPr>
          <w:b w:val="0"/>
        </w:rPr>
        <w:t xml:space="preserve"> lämplighet för den ena eller andra statstjänsten, och därjämte har utskottet ansett, att man icke bör förlora ur sikte statens intresse härvidlag, som ju är af allra största betydelse.</w:t>
        <w:br/>
        <w:br/>
        <w:t xml:space="preserve">I olikhet med motionärerna har utskottet ansett, att det icke vore lämpligt att inrymma så detaljerade bestämmelser, som motionärerna velat, i själfva grundlagen, utan utskottet har trott, att saken lämpligen borde främjas på det sätt, att 28 $ regeringsformen komme att innehålla medgifvande för Konungen att till vissa statstjänster utnämna </w:t>
      </w:r>
      <w:r>
        <w:rPr>
          <w:b/>
        </w:rPr>
        <w:t>kvinnor¹</w:t>
      </w:r>
      <w:r>
        <w:rPr>
          <w:b w:val="0"/>
        </w:rPr>
        <w:t>, men att man däremot genom bestämmelser, som tillkommit i annan ordning, skulle närmare precisera förhållandet.</w:t>
        <w:br/>
        <w:br/>
        <w:t xml:space="preserve">Under det att utskottet uti de hänseenden, jag nu berört, varit fullt ense, så ha inom utskottet framträdt olika meningar, när det gällt att närmare formulera hänvisningen till den ordning, i hvilken de supplerande bestämmelserna borde komma till stånd. 9Sålunda har utskottet, som herrarne finna af dess betänkande, trott, att hvad som man afsett helt enkelt skulle kunna vinnas genom det af utskottet föreslagna uttrycket: »med tillämpning af grunder, som af Konung och Riksdag gemensamt fastställas». Hvad utskottet härunder förstått synes, såsom herrarne torde beakta, af motiveringen på sid. 9. Utskottet säger ungefär midt på denna sida: »Dessa grunder skulle enligt utskottets förmenande angifvas antingen genom allmänna lagbestämmelser rörande </w:t>
      </w:r>
      <w:r>
        <w:rPr>
          <w:b/>
        </w:rPr>
        <w:t>kvinnas¹</w:t>
      </w:r>
      <w:r>
        <w:rPr>
          <w:b w:val="0"/>
        </w:rPr>
        <w:t xml:space="preserve"> rätt att i statstjänst befordras och användas — t. ex. stadganden angående gift </w:t>
      </w:r>
      <w:r>
        <w:rPr>
          <w:b/>
        </w:rPr>
        <w:t>kvinnas¹</w:t>
      </w:r>
      <w:r>
        <w:rPr>
          <w:b w:val="0"/>
        </w:rPr>
        <w:t xml:space="preserve"> behörighet därutinnan — eller ock genom andra föreskrifter — t. ex. om särskilda ämbeten och tjänster, till hvilka </w:t>
      </w:r>
      <w:r>
        <w:rPr>
          <w:b/>
        </w:rPr>
        <w:t>kvinna¹</w:t>
      </w:r>
      <w:r>
        <w:rPr>
          <w:b w:val="0"/>
        </w:rPr>
        <w:t xml:space="preserve"> skulle äga behörighet eller möjligen företräde, om </w:t>
      </w:r>
      <w:r>
        <w:rPr>
          <w:b/>
        </w:rPr>
        <w:t>kvinnas¹</w:t>
      </w:r>
      <w:r>
        <w:rPr>
          <w:b w:val="0"/>
        </w:rPr>
        <w:t xml:space="preserve"> pensionsförhållanden m. m. — som Konung och Riksdag samfälldt besluta».</w:t>
        <w:br/>
        <w:br/>
        <w:t>Här har man således en tolkning af hvad utskottet afsett med den formulering, vid hvilken utskottet stannat. Denna formulering har emellertid icke vunnit bifall af utskottets alla ledamöter, utan åtskilliga af dem hafva tagit anstöt af densamma. De hafva trott, att den skulle kunna innebära fara för någon misstolkning, och man har därvid särskildt fäst sig vid ordet »fastställa» i uttrycket: »grunder som af Konung och Riksdag gemensamt fastställas». Man har trott, att denna formulering skulle kunna innebära någon fara för Riksdagens ensamrätt att besluta beträffande statsregleringen. För min del kan jag icke tänka mig, att åt detta uttryck »som af Konung och Riksdag gemensamt fastställas» i detta sammanhang skulle kunna gifvas en sådan betydelse, som reservanterna tänkt</w:t>
        <w:br/>
        <w:br/>
        <w:t>sig, 1 betraktande af det uttryckliga sätt, hvarpå vår regeringsform Angående tillerkänt Riksdagen allena beslutanderätt med afseende å statsindradlydelse lori af $ 28 rege regleringen. a ringsformen.</w:t>
        <w:br/>
        <w:br/>
        <w:t>Då jag således tror, att de farhågor, som reservanterna hyst, (Forts. icke äro grundade, men jag å andra sidan fruktar, att ett bifall i denna kammare till hvad reservanterna hemställt skulle vid skiljaktiga beslut kamrarne emellan bringa hela frågan på fall, hvilket jag för min del icke gärna skulle se, tillåter jag mig, herr talman,</w:t>
        <w:br/>
        <w:br/>
        <w:t>att hemställa om bifall till utskottets förslag.</w:t>
      </w:r>
    </w:p>
    <w:p>
      <w:pPr>
        <w:pStyle w:val="Heading2"/>
      </w:pPr>
      <w:r>
        <w:t>4. Harald Hjärne (Lantmannapartiet, man)</w:t>
      </w:r>
    </w:p>
    <w:p>
      <w:r>
        <w:rPr>
          <w:b w:val="0"/>
        </w:rPr>
        <w:t xml:space="preserve">Herr talman! Denna fråga har, såsom mig synes, närmast kommit å bane till följd af Riksdagens förra år fattade beslut i sammanhang med läroverksreformen. I kraft af denna läroverksreform skulle nämligen äfven </w:t>
      </w:r>
      <w:r>
        <w:rPr>
          <w:b/>
        </w:rPr>
        <w:t>kvinnor¹</w:t>
      </w:r>
      <w:r>
        <w:rPr>
          <w:b w:val="0"/>
        </w:rPr>
        <w:t xml:space="preserve"> kunna anställas å tjänster vid de nyinrättade samskolorna, men det synes, som om någon oaktsamhet blifvit begången vid fattandet af detta beslut, och det är denna oaktsamhet, som man nu velat afhjälpa; däri äro såväl motionärerna som utskottet och reservanterna ense. Afven mig förefaller det, som om denna oaktsamhet borde på något sätt afhjälpas, men jag är däremot mycket tvifvelaktig, huruvida det bör ske i form af en grundlagsändring. Man kan ju mycket väl tänka sig, att </w:t>
      </w:r>
      <w:r>
        <w:rPr>
          <w:b/>
        </w:rPr>
        <w:t>kvinnors¹</w:t>
      </w:r>
      <w:r>
        <w:rPr>
          <w:b w:val="0"/>
        </w:rPr>
        <w:t xml:space="preserve"> anställning vid samskolorna skulle kunna försiggå sålunda, att en förändring vidtoges i afseende på själfva sättet för dessa </w:t>
      </w:r>
      <w:r>
        <w:rPr>
          <w:b/>
        </w:rPr>
        <w:t>kvinnors¹</w:t>
      </w:r>
      <w:r>
        <w:rPr>
          <w:b w:val="0"/>
        </w:rPr>
        <w:t xml:space="preserve"> anställning. De skulle ju kunna anställas antingen på förordnande eller utnämnas af läroverksöfverstyrelsen.</w:t>
        <w:br/>
        <w:br/>
        <w:t xml:space="preserve">Då fordrades visserligen någon förändring i det redan fattade beslutet i sammanhang med läroverksreformen, men icke någon grundlagsändring. Emellertid ha motionärerna nu tagit saken om hand och velat undanröja de hinder, som befunnits vara för handen för </w:t>
      </w:r>
      <w:r>
        <w:rPr>
          <w:b/>
        </w:rPr>
        <w:t>kvinnors¹</w:t>
      </w:r>
      <w:r>
        <w:rPr>
          <w:b w:val="0"/>
        </w:rPr>
        <w:t xml:space="preserve"> anställning särskildt vid samskolorna. Men de ha också utvidgat motionen till att röra </w:t>
      </w:r>
      <w:r>
        <w:rPr>
          <w:b/>
        </w:rPr>
        <w:t>kvinnans¹</w:t>
      </w:r>
      <w:r>
        <w:rPr>
          <w:b w:val="0"/>
        </w:rPr>
        <w:t xml:space="preserve"> anställning icke endast vid lärarebefattningar utan också vid inrättningar för vetenskap, konst och slöjd och likaså vid läkarebefattningar, allt befattningar, som tillsättas på grund af kunglig fullmakt. Det kan nog vara riktigt, att man söker undanröja de grundlagshinder, som för närvarande stå i vägen för </w:t>
      </w:r>
      <w:r>
        <w:rPr>
          <w:b/>
        </w:rPr>
        <w:t>kvinnas¹</w:t>
      </w:r>
      <w:r>
        <w:rPr>
          <w:b w:val="0"/>
        </w:rPr>
        <w:t xml:space="preserve"> anställning i offentlig tjänst. Mot principen har jag för min enskilda del ingenting att invända. Dock synes mig opåkalladt, att man nu särskildt griper till lärarebefattningar och beställningar vid inrättningar för vetenskap, konst och slöjd, sålunda offentliga bibliotek, arkiv o. d., och läkarebefattningar till skillnad från öfriga offentliga befattningar. Jag kan mycket väl tänka mig andra befattningar, som tillsättas på grund af kunglig fullmakt, där äfven </w:t>
      </w:r>
      <w:r>
        <w:rPr>
          <w:b/>
        </w:rPr>
        <w:t>kvinnor¹</w:t>
      </w:r>
      <w:r>
        <w:rPr>
          <w:b w:val="0"/>
        </w:rPr>
        <w:t xml:space="preserve"> skulle vara synnerligen lämpliga. Denna fråga skulle naturligtvis fordra närmare undersökning. Men däremot känner jag mig mycket tveksam huruvida det är lämpligt, att hinder undanröjas för </w:t>
      </w:r>
      <w:r>
        <w:rPr>
          <w:b/>
        </w:rPr>
        <w:t>kvinnas¹</w:t>
      </w:r>
      <w:r>
        <w:rPr>
          <w:b w:val="0"/>
        </w:rPr>
        <w:t xml:space="preserve"> anställ-</w:t>
        <w:br/>
        <w:br/>
        <w:t xml:space="preserve">ning blott och bart i sådana befattningar, som här äro i fråga. Ty man kan då tänka sig, att de </w:t>
      </w:r>
      <w:r>
        <w:rPr>
          <w:b/>
        </w:rPr>
        <w:t>kvinnor¹</w:t>
      </w:r>
      <w:r>
        <w:rPr>
          <w:b w:val="0"/>
        </w:rPr>
        <w:t xml:space="preserve">, som nu utbilda sig för att vinna inträde i statens tjänst, då skulle blifva liksom drifna att fullfölja sin bana till skada för både sig själfva och de män, som genom förberedande studier söka göra sig kompetenta för dessa befattningar. BSålunda anser jag, att det bästa vore, om man kunde undanröja grundlagens hinder för </w:t>
      </w:r>
      <w:r>
        <w:rPr>
          <w:b/>
        </w:rPr>
        <w:t>kvinnors¹</w:t>
      </w:r>
      <w:r>
        <w:rPr>
          <w:b w:val="0"/>
        </w:rPr>
        <w:t xml:space="preserve"> anställning i statens tjänst genom en mer omfattande formulering. Utskottet åberopar själft den grundlagsändring, som 1901 blifvit antagen i Norge, hvarigenom en bestämmelse införts af följande lydelse: »I hvilken Udstreekning Kvinder, der opfylder de for Mzgeend ved Grundloven foreskrevne Betingelser, skal kunne ansettes i Embeder, bestemmes ved Lov». Det gäller om </w:t>
      </w:r>
      <w:r>
        <w:rPr>
          <w:b/>
        </w:rPr>
        <w:t>kvinnors¹</w:t>
      </w:r>
      <w:r>
        <w:rPr>
          <w:b w:val="0"/>
        </w:rPr>
        <w:t xml:space="preserve"> anställning i hvilken offentlig tjänst som helst, men det förutsätter, att den närmare regleringen af </w:t>
      </w:r>
      <w:r>
        <w:rPr>
          <w:b/>
        </w:rPr>
        <w:t>kvinnas¹</w:t>
      </w:r>
      <w:r>
        <w:rPr>
          <w:b w:val="0"/>
        </w:rPr>
        <w:t xml:space="preserve"> anställning skall ske förmedelst allmän lag. Det synes mig vara den rätta vägen, som man skulle välja i detta fall.</w:t>
        <w:br/>
        <w:br/>
        <w:t xml:space="preserve">Motionärerna hafva icke uppmärksammat vikten af att frågan om </w:t>
      </w:r>
      <w:r>
        <w:rPr>
          <w:b/>
        </w:rPr>
        <w:t>kvinnors¹</w:t>
      </w:r>
      <w:r>
        <w:rPr>
          <w:b w:val="0"/>
        </w:rPr>
        <w:t xml:space="preserve"> anställning regleras genom lag, stiftad af Konung och Riksdag. Det har utskottet däremot gjort, och utskottet har, som det synes mig, fullt välbetänkt föreslagit en ändring i grundlagen, som går ut därpå, att villkoren för </w:t>
      </w:r>
      <w:r>
        <w:rPr>
          <w:b/>
        </w:rPr>
        <w:t>kvinnors¹</w:t>
      </w:r>
      <w:r>
        <w:rPr>
          <w:b w:val="0"/>
        </w:rPr>
        <w:t xml:space="preserve"> anställning i ifrågavarande befattningar må bestämmas enligt grunder, som fastställas af Konung och Riksdag, För så vidt därmed menas en lagstiftning af Konung och Riksdag, så är jag enig med utskottet. Däremot kan jag icke annat än behjärta de konstitutionella hinder, som blifvit framställda af reservanterna. Det är gifvet, att detta ord fastställas kan lika väl brukas också om statsregleringsbestämmelser, och då vilja reservanterna ha detta bestämdt utsagdt i den ifrågavarande grundlagsparagrafen. Från konstitutionell synpunkt är detta fullkomligt riktigt. Däremot kan jag icke neka till, att jag hyser betänkligheter mot själfva den sak, som reservanterna föreslå. Ty om dessa villkor för </w:t>
      </w:r>
      <w:r>
        <w:rPr>
          <w:b/>
        </w:rPr>
        <w:t>kvinnors¹</w:t>
      </w:r>
      <w:r>
        <w:rPr>
          <w:b w:val="0"/>
        </w:rPr>
        <w:t xml:space="preserve"> anställning skulle kunna fastställas äfven genom statsregleringsbeslut, så följer däraf, att sådant statsregleringsbeslut kan bli föremål för gemensam votering, och vi veta alla, att gemensamma voteringar kunna i liknande fall utfalla ganska olika. Då inkommer därmed i den viktiga reformen ett moment af osäkerhet, som jag icke anser lämpligt. Sålunda kan jag icke vara med om reservanternas formulering, så stor vikt jag än måste fästa vid de af dem framhållna konstitutionella betänkligheterna. Jag kan icke komma till annat resultat, än att den ifrågasatta reformen icke är så mogen, att vi skulle kunna fatta ett beslut, som skulle förbereda en grundlagsändring för dess genomförande, utan på de skäl, jag anfört, får jag, herr talman, yrka afslag å såväl utskottets hemställan som motionerna och äfven reservationen.</w:t>
      </w:r>
    </w:p>
    <w:p>
      <w:pPr>
        <w:pStyle w:val="Heading2"/>
      </w:pPr>
      <w:r>
        <w:t>5. Adolf Hedin (Liberala samlingspartiet, man)</w:t>
      </w:r>
    </w:p>
    <w:p>
      <w:r>
        <w:rPr>
          <w:b w:val="0"/>
        </w:rPr>
        <w:t xml:space="preserve">Herr talman! Jag befinner mig i viss grad i Angående samma belägenhet som den föregående talaren: liksom han, finner a jag här saker, som jag icke kan vara med om. Men lyckligtvis FSK slkhrdg finnes det ett förslag, som jag anser uppfylla alla nödiga villkor = (Forts.) för förändring af den 28:de paragrafen regeringsformen i det syfte, som motionärerna afsett, och det är motionärernas eget förslag. För mig är det omöjligt att inse, att det skulle ligga någon fara i detta, då jag icke fruktar för att man därigenom kommer att riskera, att en </w:t>
      </w:r>
      <w:r>
        <w:rPr>
          <w:b/>
        </w:rPr>
        <w:t>kvinna¹</w:t>
      </w:r>
      <w:r>
        <w:rPr>
          <w:b w:val="0"/>
        </w:rPr>
        <w:t xml:space="preserve"> med öfverlägsen medicinsk skicklighet skulle tilltvinga sig militärläkarebefattning. Men skulle det en gång finnas nödigt, finge man då skrida till en förändring af grundlagen, som icke är något så förskräckligt svårt företag.</w:t>
        <w:br/>
        <w:br/>
        <w:t>Hvarför jag icke kan vara med vare sig om utskottets eller reservanternas förslag, beror på den hos mig outrotliga farhågan, grundad på omfattande kännedom om hvad som har skett i andra länder, där grundlagsbestämmelser förvandlats till knapphändiga principuttalanden, med hvilka man sedan kunnat göra ungefär allt hvad man behagat. För detta skulle vi öppna vägen genom det förslag, som är framlagdt; det hindras ej af den förbättring, som utskottsförslaget fått genom reservanternas hemställan. Och därför kan jag icke med godt samvete vara med om denna hemställan, så högeligen jag än önskar, att det syftemål måtte uppnås, som motionärerna haft, och som jag anser skulle bäst uppnås just genom deras förslag.</w:t>
        <w:br/>
        <w:br/>
        <w:t>Vi ha ett exempel i vårt eget land, som vi icke böra glömma bort. Jag har icke någon andel häri, ty det år, då det beslut fattades, hvarpå jag här syftar, var jag icke i Andra Kammaren. Det var 1875, då man tog sig före att på statsregleringsväg skapa nya former af förtroendeämbeten, då man till den fastställda pensionsåldern, vid hvilken i regel tjänsteinnehafvaren skulle vara skyldig att afgå, fogade den bestämmelsen, att han kunde få sitta kvar något längre tid, ett år, två år, tre år, naturligtvis med det underförstådda villkoret, att han för det första betett sig snällt och hyggligt under hela sin föregående tjänstetid och att han för det andra skulle bli Guds bästa barn under de år, man lät honom sitta kvar vid sin tjänst. Man har frågat mig: kan det anföras något bevis för, att denna nya kategori af förtroendeämbetsmän är något, som vi böra önska bort ur vårt statslif? Jag svarar ja. Jag kan anföra sådana bevis. Men då sådana bevis eller exempel ju icke skulle kunna anföras utan medelst personnamns omnämnande jämte vissa åtgärders, med hvilka dessa namn stå i samband, så inses, herr talman, hvarför jag ber kammaren lita på min uppgift, att den förändring, som då skedde, var en olycksdiger förändring, liksom den var stridande mot grundlagen. Då fick man in i statsregleringen någonting, som har sin enda riktiga plats i regeringsformen. Detsamma skulle vi göra här. Vi skulle inskrifva en princip i</w:t>
        <w:br/>
        <w:br/>
        <w:t xml:space="preserve">grundlagen beträffande </w:t>
      </w:r>
      <w:r>
        <w:rPr>
          <w:b/>
        </w:rPr>
        <w:t>kvinnors¹</w:t>
      </w:r>
      <w:r>
        <w:rPr>
          <w:b w:val="0"/>
        </w:rPr>
        <w:t xml:space="preserve"> tillträde till ifrågavarande tjänster, men sedan lämna åt en annan lagstiftningsmakt än den konstitutionella, d. v. s. åt den legislatoriska eller åt penningbeviljande, att närmare utveckla, hvad med det oändligt mångtydiga ordet grunder kan förstås. Man skulle med tillhjälp af denna mångtydighet kunna vidtaga alla möjliga slag af inskränkningar och så småningom — om också icke kanske det första året, så likväl något af de närmaste — beträda en väg, som man i andra länder otaliga gånger haft skäl att ångra. Jag hänvisar dem, som äro intresserade för sådana frågor, till de franska konstitutionella lagarne. I Frankrike är hvad vi kalla grundlag förvandladt till sådana korta, knapphändiga och mycket innehållsrika — det vill också säga mycket innehållstomma — bestämmelser, att det händt, att en särskildt märvärdig debatt — som öppnades af ingen mindre än republikens f. d. president Casimir Périer — nyss uppstått om frågan, hvilken presidentens ställning egentligen är. Man tycker, att detta är en sak, som borde vara preciserad i en af de lagar, som motsvara hvad vi kalla »grundlag», och omgifven af all respekt. Man har, som bekant, i tyska riksförfattningen och andra länders författningar gjort arbetsordningen — detta ord taget i en ofantligt omfattande mening — till någonting, öfver hvilket representantförsamlingen är enväldig herre hvilket ögonblick som helst. Annorlunda förhåller det sig med den arbetsordning, som innehålles i vår riksdagsordning och som är en af de dyrbaraste förmåner, det svenska folket i sina grundlagar äger. Jag behöfver endast ha ögonen med mig och komma ihåg, hvad det i hvarje stund gäller, så är jag fullständigt skyddad i min rätt som representant, så, som icke någonsin förekommit annanstädes och icke i detta ögonblick förekommer på något annat ställe än i Sveriges land. Hvarje afvikelse från de regler, vi hittills följt, är jag rädd för. Här är en fråga, som kunde medföra en sådan afvikelse. Och det är icke sagdt, att sådana vindar icke skulle kunna komma att blåsa, då det funnes de, som kunde tycka, att det vore bra, om grundlagen verkligen vore så skrifven, att den icke stode som ett bart huggande svärd mot dem, som ville en annan frihet än den grundlagen tillåter. Jag skall för att tydligen visa, hvad jag menar, yrka bifall till motionärernas förslag.</w:t>
      </w:r>
    </w:p>
    <w:p>
      <w:pPr>
        <w:pStyle w:val="Heading2"/>
      </w:pPr>
      <w:r>
        <w:t>6. David Bergström (Frisinnade folkpartiet, man)</w:t>
      </w:r>
    </w:p>
    <w:p>
      <w:r>
        <w:rPr>
          <w:b w:val="0"/>
        </w:rPr>
        <w:t>Herr talman, mina herrar! Den synpunkt, som den siste ärade talaren här med sådan styrka framhållit, har ingalunda varit obeaktad i konstitutionsutskottet, ity att flere af dess ledamöter hafva velat gå den vägen, som motionärerna ursprungligen ifrågasatt. Men vid behandlingen utaf detta ganska omfattande ärende visade det sig en hel del svårigheter, en hel del praktiska svårigheter, att gå den vägen. Det visade sig, att det redan inom utskottet och säkerligen äfven inom Riksdagen</w:t>
        <w:br/>
        <w:br/>
        <w:t xml:space="preserve">skulle blifva en betydande strid beträffande de undantag, som då Angående uti &amp; 28 regeringsformen måste införas, undantagsbestämmelser PREL työee beträffande </w:t>
      </w:r>
      <w:r>
        <w:rPr>
          <w:b/>
        </w:rPr>
        <w:t>kvinnans¹</w:t>
      </w:r>
      <w:r>
        <w:rPr>
          <w:b w:val="0"/>
        </w:rPr>
        <w:t xml:space="preserve"> användning i afseende å vissa läkareoch Arr läraretjänster. Så t. ex. reste sig ett bestämdt motstånd mot att (Forts. lämna </w:t>
      </w:r>
      <w:r>
        <w:rPr>
          <w:b/>
        </w:rPr>
        <w:t>kvinnan¹</w:t>
      </w:r>
      <w:r>
        <w:rPr>
          <w:b w:val="0"/>
        </w:rPr>
        <w:t xml:space="preserve"> tillträde till läkarebeställningar vid armén och flot-</w:t>
        <w:br/>
        <w:br/>
        <w:t xml:space="preserve">från andra håll yppade det sig obenägenhet att lämna </w:t>
      </w:r>
      <w:r>
        <w:rPr>
          <w:b/>
        </w:rPr>
        <w:t>kvinnan¹</w:t>
      </w:r>
      <w:r>
        <w:rPr>
          <w:b w:val="0"/>
        </w:rPr>
        <w:br/>
        <w:br/>
        <w:t>den var således i afseende å sakfrågan uti full gång och skulle säkerligen hafva fullföljts här i Riksdagen. Så till vida vill jag</w:t>
        <w:br/>
        <w:br/>
        <w:t>alltså gifva den näst siste talaren rätt: i detta sakliga afseende</w:t>
        <w:br/>
        <w:br/>
        <w:t>tror icke heller jag, att Riksdagen i år är mogen för att gå till</w:t>
        <w:br/>
        <w:br/>
        <w:t>ett beslut. Det var också just därför, som man fann sig, därest</w:t>
        <w:br/>
        <w:br/>
        <w:t>man nämligen ville bereda en möjlighet för den reformtanke, som</w:t>
        <w:br/>
        <w:br/>
        <w:t>här varit å bane, att inom en afsevärd tid komma till en lösning.</w:t>
        <w:br/>
        <w:br/>
        <w:t>'nödsakad att slå in på en helt annan väg.</w:t>
        <w:br/>
        <w:br/>
        <w:t>Jag delar, som sagdt, för min enskilda del i hög grad den mening, som här har uttalats af herr Hedin. Jag är en bestämd motståndare mot sådana yrkanden, som vi här fått bevittna 1 Riksdagen i tidigare tider, att man t. ex. skulle på tryckfrihetslagstiftningens område ur grundlagen taga bort alla de detaljbestämmelser, som där finnas, och endast och allenast i tryckfrihetsförordningen hafva principbestämmelser och sedan hänvisa till den allmänna lagstiftningen. Men jag har, då det här gäller ett nytt lagstiftningsområde, måst förlika mig med tanken att i grundlagen hänvisa till den allmänna lagstiftningen jämte andra former för detaljbestämmelsers fastställande, för att möjliggöra det mål, som man här ville vinna.</w:t>
        <w:br/>
        <w:br/>
        <w:t xml:space="preserve">Utom den strid, som jag nyss pekat på, så är det äfven andra frågor, som blifva ganska kvistiga att lösa, framför allt om man skulle lösa dem i konstitutionell väg. Såsom herrarne erinra sig från sistlidne riksdag, då vi behandlade frågan om </w:t>
      </w:r>
      <w:r>
        <w:rPr>
          <w:b/>
        </w:rPr>
        <w:t>kvinnans¹</w:t>
      </w:r>
      <w:r>
        <w:rPr>
          <w:b w:val="0"/>
        </w:rPr>
        <w:t xml:space="preserve"> anställande vid läroverken och fattade beslut om </w:t>
      </w:r>
      <w:r>
        <w:rPr>
          <w:b/>
        </w:rPr>
        <w:t>hennes²</w:t>
      </w:r>
      <w:r>
        <w:rPr>
          <w:b w:val="0"/>
        </w:rPr>
        <w:t xml:space="preserve"> användande vid samskolorna, så försattes </w:t>
      </w:r>
      <w:r>
        <w:rPr>
          <w:b/>
        </w:rPr>
        <w:t>kvinnan¹</w:t>
      </w:r>
      <w:r>
        <w:rPr>
          <w:b w:val="0"/>
        </w:rPr>
        <w:t xml:space="preserve"> icke uti samma ställning med hänsyn till anställningen vid sistnämnda skolor som männen. Då framställer sig naturligtvis den frågan: skall man uti grundlagen draga upp olika gränser för män och </w:t>
      </w:r>
      <w:r>
        <w:rPr>
          <w:b/>
        </w:rPr>
        <w:t>kvinnor¹</w:t>
      </w:r>
      <w:r>
        <w:rPr>
          <w:b w:val="0"/>
        </w:rPr>
        <w:t xml:space="preserve"> ur dylika synpunkter, eller är man icke nödvändigtvis hänvisad till att finna former att göra detta utanför grundlagsstiftningen? För min del har jag icke kunnat komma till något annat än att böja mig för dessa praktiska synpunkter. Och därför kommer jag också naturligtvis, såsom reservant i utskottet, att yrka bifall till reservanternas förslag.</w:t>
        <w:br/>
        <w:br/>
        <w:t>Jag skall här endast tillägga ett par ord med afseende å reservanternas förslag. Den andre ärade talaren i ordningen, herr Darin, som uppträdde för utskottets uppfattning, sade, att utskottet</w:t>
        <w:br/>
        <w:br/>
        <w:t>gifvit en tolkning på sid. 9 i sitt betänkande utaf det förslag till lydelse, som här föreligger i utskottets yrkande. Men, mina herrar, när vi såsom hvilande eller slutgiltigt antaga ett grundlagsförslag, måste detta vara så klart och tydligt affattadt, att det icke behöfver åtföljas utaf tolkning från konstitutionsutskottet. Konstitutionsutskottet kan för öfrigt icke gifva någon som helst autentisk tolkning af grundlagen. Vid sådant förhållande synes det mig, att den ståndpunkt, som herr Hjärne intagit i detta afseende, är vida klarare, nämligen att, om man skall gå denna väg, som konstitutionsutskottet har anvisat, man också bör lägga till hvad reservanterna här lagt till, för att det må råda full klarhet i afseende å innebörden af grundlagsbestämmelserna. Jag ber, herr talman, att få yrka bifall till reservationen.</w:t>
      </w:r>
    </w:p>
    <w:p>
      <w:pPr>
        <w:pStyle w:val="Heading2"/>
      </w:pPr>
      <w:r>
        <w:t>7. Ernst Lindblad (Lantmannapartiet, man)</w:t>
      </w:r>
    </w:p>
    <w:p>
      <w:r>
        <w:rPr>
          <w:b w:val="0"/>
        </w:rPr>
        <w:t>Herr talman! Jag skulle näppeligen kommit att uppträda i denna fråga, om jag icke genom sekreteraren hade erfarit, att två af denna kammares ledamöter, som biträdt utskottets förslag, hafva erhållit begärd ledighet från riksdagsgöromålen och därför icke nu kunna föra utskottets talan.</w:t>
        <w:br/>
        <w:br/>
        <w:t xml:space="preserve">När jag läste de olika yrkanden, som blifvit gjorda dels af utskottet och dels af reservanterna, så frågade jag mig, för att klargöra saken för mig själf: hvari ligger skillnaden? Det föreföll mig vara liksom en liten svag erinran om hvad från andra håll hörts under dessa dagar, nämligen den frågan, huruvida man skall gå »laglinjen» eller om man skall gå »anslagslinjen». Och jag tyckte mig i reservanternas tillstyrkan finna, att de icke vilja nöja sig med att bevilja ökadt tillträde till statstjänst åt </w:t>
      </w:r>
      <w:r>
        <w:rPr>
          <w:b/>
        </w:rPr>
        <w:t>kvinnan¹</w:t>
      </w:r>
      <w:r>
        <w:rPr>
          <w:b w:val="0"/>
        </w:rPr>
        <w:t xml:space="preserve"> genom en lag, som skulle stiftas af Konung och Riksdag gemensamt, utan att de tänkt sig andra grunder, hvilka skulle kunna ernås på den gemensamma omröstningens väg.</w:t>
        <w:br/>
        <w:br/>
        <w:t>Vi hafva nyss hört talaren på uppsalabänken framhålla detta. Vi hafva också hört två talare på stockholmsbänken uttala betänkligheter. Den ene af dem ogillade bestämdt såväl utskottets mening som reservanternas, och han slöt sig hufvudsakligen till motionärens förslag. Men både utskottsmajoriteten och reservanterna hafva varit ense om, att motionären gått för långt. Och det var väl för att erhålla någon begränsning häri, som reservanterna föreslagit sin stilisering af lagtexten.</w:t>
        <w:br/>
        <w:br/>
        <w:t>Hvad nu den siste talaren anfört, då han sade, att han från första stunden icke ansett denna fråga vara mogen för lösning i år, har stärkt mig ändå mer i de betänkligheter, jag från början hade i detta afseende. Sammanlägger jag nu de kraftiga uttalanden, som gjordes af talaren på uppsalabänken och de två siste talarne på stockholmsbänken, tror jag, att denna kammare måste blifva mer än betänksam, när den går att ändra grundlagen och fastställa de</w:t>
        <w:br/>
        <w:br/>
        <w:t>nya grunder, som för framtiden skola tillämpas i en så viktig Angående angelägenhet, som det här gäller. ERE EEE</w:t>
        <w:br/>
        <w:br/>
        <w:t xml:space="preserve">Det var en talare, som anförde, att i Norge </w:t>
      </w:r>
      <w:r>
        <w:rPr>
          <w:b/>
        </w:rPr>
        <w:t>kvinnans¹</w:t>
      </w:r>
      <w:r>
        <w:rPr>
          <w:b w:val="0"/>
        </w:rPr>
        <w:t xml:space="preserve"> anställforne ning i statstjänst måste uttryckligen bestämmas genom lag. Vid (Forts) sådant förhållande, mina herrar, förstår jag icke, hvarför vi skulle gå ändå längre, och hvarför vi, såsom måhända reservanterna menat, skulle börja på att — får jag säga genom en lönndörr? — få in </w:t>
      </w:r>
      <w:r>
        <w:rPr>
          <w:b/>
        </w:rPr>
        <w:t>kvinnan¹</w:t>
      </w:r>
      <w:r>
        <w:rPr>
          <w:b w:val="0"/>
        </w:rPr>
        <w:t xml:space="preserve"> på platser, i afseende å hvilka vi icke från början varit på det klara med, att </w:t>
      </w:r>
      <w:r>
        <w:rPr>
          <w:b/>
        </w:rPr>
        <w:t>hon²</w:t>
      </w:r>
      <w:r>
        <w:rPr>
          <w:b w:val="0"/>
        </w:rPr>
        <w:t xml:space="preserve"> lämpar sig eller i öfrigt bör släppas in. Hvar och en i kammaren känner också, huru lätt det kunde blifva att på den gemensamma omröstningens väg, där tillfälliga stämningar och stundom öfverraskningar förekomma, få platser upplåtna åt </w:t>
      </w:r>
      <w:r>
        <w:rPr>
          <w:b/>
        </w:rPr>
        <w:t>kvinnor¹</w:t>
      </w:r>
      <w:r>
        <w:rPr>
          <w:b w:val="0"/>
        </w:rPr>
        <w:t>, hvilka platser kanske icke lämpa sig för dem. Det kan exempelvis genom en pressagitation och hvarjehanda andra inflytelser åvägabringas sympatiuttalanden låt oss säga för en personlig professur åt en framstående vetenskapsidkerska vid universitetet i Lund eller kanske vid vårt äldsta universitet — namn behöfver ej här förekomma. Aro herrarne verkligen då beredda på att afgöra frågan om sådan anställning på den gemensamma omröstningens väg? Därhän pekar dock onekligen reservanternas förslag. Jag kan icke läsa det på annat sätt.</w:t>
        <w:br/>
        <w:br/>
        <w:t xml:space="preserve">Skulle man nu, för att komma till ett positivt beslut, vilja slå in på en dylik väg, förefaller det mig, som om utskottets förslag vore det enda acceptabla i detta fall. Men jag kan, sedan så starka anmärkningar nu blifvit uttalade mot detsamma, icke finna det förenligt med det ansvar, jag för min personliga del känner vid afgifvande af min röst, att gå med på detta förslag, utan jag biträder hellre det yrkande, som gjorts af talaren på uppsalabänken, nämligen att för tillfället, till dess man funnit en bättre formulering af grundlagstexten, låta saken hvila ett år, i den tanke att man kan åstadkomma en bättre lösning nästa år. Man slipper då ifrån de invändningar, som nu göras. Och vi må dock betänka, att det gäller i alla fall, mina herrar, här en mycket allvarlig fråga. Det gäller, huruvida man skall släppa in </w:t>
      </w:r>
      <w:r>
        <w:rPr>
          <w:b/>
        </w:rPr>
        <w:t>kvinnan¹</w:t>
      </w:r>
      <w:r>
        <w:rPr>
          <w:b w:val="0"/>
        </w:rPr>
        <w:t xml:space="preserve"> i konkurrenskamp med männen beträffande alla de statsämbeten, som här blifvit ifrågasatta. Hittills har, såsom vi veta, </w:t>
      </w:r>
      <w:r>
        <w:rPr>
          <w:b/>
        </w:rPr>
        <w:t>kvinnan¹</w:t>
      </w:r>
      <w:r>
        <w:rPr>
          <w:b w:val="0"/>
        </w:rPr>
        <w:t xml:space="preserve"> fått stanna vid vissa lägre eller, jag vill ej säga lägre, men mindre aflönade platser. Och detta är helt naturligt därför, att den princip har dock ända tills nu gällt i vårt land, att det är de högre aflönade befattningarna, som blifvit förbehållna männen därför, att det också tilllika inrymts möjlighet åt tjänsteinnehafvaren att bilda familj. Detta kan emellertid aldrig blifva </w:t>
      </w:r>
      <w:r>
        <w:rPr>
          <w:b/>
        </w:rPr>
        <w:t>kvinnans¹</w:t>
      </w:r>
      <w:r>
        <w:rPr>
          <w:b w:val="0"/>
        </w:rPr>
        <w:t xml:space="preserve"> uppgift, då </w:t>
      </w:r>
      <w:r>
        <w:rPr>
          <w:b/>
        </w:rPr>
        <w:t>hon²</w:t>
      </w:r>
      <w:r>
        <w:rPr>
          <w:b w:val="0"/>
        </w:rPr>
        <w:t xml:space="preserve"> kommer in på detta område. På denna grund bör, enligt mitt förmenande, </w:t>
      </w:r>
      <w:r>
        <w:rPr>
          <w:b/>
        </w:rPr>
        <w:t>kvinnan¹</w:t>
      </w:r>
      <w:r>
        <w:rPr>
          <w:b w:val="0"/>
        </w:rPr>
        <w:t xml:space="preserve"> stanna på de lägre aflönade befattningarna.</w:t>
        <w:br/>
        <w:br/>
        <w:t xml:space="preserve">Jag finner det alldeles naturligt, att, då Riksdagen så nyligen som i år bestämt, att </w:t>
      </w:r>
      <w:r>
        <w:rPr>
          <w:b/>
        </w:rPr>
        <w:t>kvinnor¹</w:t>
      </w:r>
      <w:r>
        <w:rPr>
          <w:b w:val="0"/>
        </w:rPr>
        <w:t xml:space="preserve"> skola anställas vid våra skolor, sär-</w:t>
        <w:br/>
        <w:br/>
        <w:t>Jag ber att få förena mig 1 det afslagsyrkande, som blifvit fram-</w:t>
      </w:r>
    </w:p>
    <w:p>
      <w:pPr>
        <w:pStyle w:val="Heading2"/>
      </w:pPr>
      <w:r>
        <w:t>8. Karl Staaff (Liberala samlingspartiet, man)</w:t>
      </w:r>
    </w:p>
    <w:p>
      <w:r>
        <w:rPr>
          <w:b w:val="0"/>
        </w:rPr>
        <w:t>Herr talman! Jag är mycket oviss, huruvida de ärade ledamöter af konstitutionsutskottet, till hvilkas ställföreträdare herr Lindblad gjorde sig och som nu äro frånvarande, skulle vara belåtna med att herr Lindblad företrädt dem på sätt, som skett, då han utgick från ett synnerligen stort misstag med afseende på hvad utskottet menat.</w:t>
        <w:br/>
        <w:br/>
        <w:t xml:space="preserve">Det förhåller sig nämligen icke alls på det viset, som herr Lindblad läst detta utlåtande, eller att reservanterna skulle ha afsett att lägga till någon särskild utväg utöfver hvad utskottet föreslagit. Utskottets mening har ingalunda varit att begränsa fastställandet af de ifrågavarande grunderna till lag. Detta förslag var också uppe, men föll därpå, att man framhöll, att det var alldeles nödvändigt att öppna möjlighet för stadgande af sådana villkor och bestämmelser, som med afseende på pensionsålder o. s. v. kunde göra ämbetsoch tjänsteförhållanden för man och </w:t>
      </w:r>
      <w:r>
        <w:rPr>
          <w:b/>
        </w:rPr>
        <w:t>kvinna¹</w:t>
      </w:r>
      <w:r>
        <w:rPr>
          <w:b w:val="0"/>
        </w:rPr>
        <w:t xml:space="preserve"> till en och samma tjänst helt och hållet olika.</w:t>
        <w:br/>
        <w:br/>
        <w:t xml:space="preserve">Därpå syftar utskottets eget yttrande på sid. 9, nämligen att dessa grunder skulle enligt utskottets förmenande angifvas antingen genom allmänna lagbestämmelser rörande </w:t>
      </w:r>
      <w:r>
        <w:rPr>
          <w:b/>
        </w:rPr>
        <w:t>kvinnas¹</w:t>
      </w:r>
      <w:r>
        <w:rPr>
          <w:b w:val="0"/>
        </w:rPr>
        <w:t xml:space="preserve"> rätt att i statstjänst befordras och användas — t. ex. stadganden angående gift </w:t>
      </w:r>
      <w:r>
        <w:rPr>
          <w:b/>
        </w:rPr>
        <w:t>kvinnas¹</w:t>
      </w:r>
      <w:r>
        <w:rPr>
          <w:b w:val="0"/>
        </w:rPr>
        <w:t xml:space="preserve"> behörighet därutinnan — eller ock genom andra föreskrifter — +t. ex. om särskilda ämbeten och tjänster, till hvilka </w:t>
      </w:r>
      <w:r>
        <w:rPr>
          <w:b/>
        </w:rPr>
        <w:t>kvinna¹</w:t>
      </w:r>
      <w:r>
        <w:rPr>
          <w:b w:val="0"/>
        </w:rPr>
        <w:t xml:space="preserve"> skulle äga behörighet eller möjligen företräde, om </w:t>
      </w:r>
      <w:r>
        <w:rPr>
          <w:b/>
        </w:rPr>
        <w:t>kvinnas¹</w:t>
      </w:r>
      <w:r>
        <w:rPr>
          <w:b w:val="0"/>
        </w:rPr>
        <w:t xml:space="preserve"> pensionsförhållanden m. m. — Utskottet och reservanterna hafva således menat alldeles detsamma; reservanterna hafva endast låtit sig angeläget vara att gifva denna samma mening ett konstitutionellt riktigare uttryck och en precisare formulering. Detta är enda skillnaden, och någon sådan skillnad, som herr Lindblad trodde sig kunna uppkonstruera, finnes således absolut icke.</w:t>
      </w:r>
    </w:p>
    <w:p>
      <w:pPr>
        <w:pStyle w:val="Heading2"/>
      </w:pPr>
      <w:r>
        <w:t>9. Theodor Zetterstrand (Frisinnade försvarsvänner, man)</w:t>
      </w:r>
    </w:p>
    <w:p>
      <w:r>
        <w:rPr>
          <w:b w:val="0"/>
        </w:rPr>
        <w:t xml:space="preserve">Enligt hvad det berättas, lär Första Kam- Angående maren nyss med några rösters majoritet hafva antagit utskottets See uden förslag och därigenom principiellt uttalat sig för, att </w:t>
      </w:r>
      <w:r>
        <w:rPr>
          <w:b/>
        </w:rPr>
        <w:t>kvinnan¹</w:t>
      </w:r>
      <w:r>
        <w:rPr>
          <w:b w:val="0"/>
        </w:rPr>
        <w:t xml:space="preserve"> här Ur sfer i landet bör få större rättighet än tillförene att bestrida statstjänst. — (Forts. Nu kan jag icke föreställa mig annat, än att Andra Kammaren i det fallet står på samma ståndpunkt som Första Kammarens majoritet, och under sådana förhållanden skulle jag på det lifligaste beklaga, om Andra Kammaren på grund af de formella betänkligheter, som yppats, skulle finna sig föranlåten att afslå föreliggande förslag.</w:t>
        <w:br/>
        <w:br/>
        <w:t>Däremot är det en annan fråga, huru man skall ställa sig med afseende på de olika yrkandena. Hvad som har utsikt att vinna majoritet här är väl antingen bifall till reservationen eller till motionen. Jag saknar alldeles de konstitutionella betingelser, som erfordras för att i det fallet gifva något råd åt kammaren, och fråga är väl, om det genom sammanjämkning kan lyckas att bringa frågan till en lösning vid denna riksdag. Därmed må nu vara huru som helst, så anser jag, att kammaren icke bör afslå det föreliggande förslaget, utan rösta för bifall antingen till reservationen eller till motionen och sålunda, om än frågan icke kan lösas vid denna riksdag, åtminstone bana väg för en lycklig lösning vid en kommande riksdag.</w:t>
        <w:br/>
        <w:br/>
        <w:t>Konungens domsrätt skall uppdragas minst tolf, högst tjuguen af Honom utnämnda lagkunnige män, hvilka fullgjort hvad författningarne föreskrifva dem, som uti domareämbeten må nyttjas, samt i sådana värf ådagalagt insikt, erfarenhet och redlighet. De kallas justitieråd och utgöra Konungens högsta domstol.</w:t>
        <w:br/>
        <w:br/>
        <w:t>Justitierådens antal må ej ökas utöfver tolf, så vida ej Konungen och Riksdagen, i den ordning 87 8 1 mom. stadgar, besluta, att högsta domstolen skall på afdelningar arbeta. I sådant fall varde såväl justitierådens antal inom ofvan föreskrifna gränser som ärendenas fördelning mellan afdelningarna i samma ordning bestämda, och må vid tillfälligt behof af förstärkning i domstolens arbetskrafter jämväl i enahanda ordning kunna bestämmas, att Konungen för viss tid äger förordna högst sex lagkunnige, i domarevärf förfarne och för redlighet kände män att såsom ledamöter af högsta domstolen tjänstgöra.</w:t>
        <w:br/>
        <w:br/>
        <w:t>Då justitieärenden i statsrådet föredragas, skola, jämte chefen för justitiedepartementet och två andra ledamöter af statsrådet, två ledamöter af högsta domstolen dem öfvervara, med den skyldighet att till protokollet yttra sig, som 9 8 föreskrifver.</w:t>
        <w:br/>
        <w:br/>
        <w:t>Statsministern och ministern för utrikes ärendena innehafve rikets högsta värdighet och statsråden den närmast därintill. Ledamot af statsrådet må icke tillika annat ämbete utöfva, ej heller några inkomster däraf uppbära. Justitieråd må ej tillika annat ämbete innehafva eller utöfva, ej heller tillförordnad ledamot af högsta domstolen annat ämbete utöfva.</w:t>
        <w:br/>
        <w:br/>
        <w:t>Ej må statsrådsledamot eller ledamot af Konungens högsta domstol i utskott eller val till utskott deltaga; ej heller någon, af hvilken Riksdagen kan fordra redo och ansvar, inväljas i utskott, där redovisning för hans egna ämbetsåtgärder kan förekomma.</w:t>
        <w:br/>
        <w:br/>
        <w:t>Justitierådens antal må ej ökas utöfver tolf, så vida ej Konungen och Riksdagen, i den ordning 87 &amp; 1 mom. stadgar, besluta, att högsta domstolen skall på afdelningar arbeta. I sådant fall varde såväl justitierådens antal inom ofvan föreskrifna gränser, som ärendenas fördelning mellan afdelningarna i samma ordning bestämda, och må vid tillfälligt behof af förstärkning i domstolens arbetskrafter jämväl i enahanda ordning kunna för viss tid bestämmas, att Konungen äger förordna högst sex lagkunnige, i domarevärf</w:t>
      </w:r>
    </w:p>
    <w:p>
      <w:pPr>
        <w:pStyle w:val="Heading2"/>
      </w:pPr>
      <w:r>
        <w:t>10. Knut Henning Gezelius von Scheele (–, man)</w:t>
      </w:r>
    </w:p>
    <w:p>
      <w:r>
        <w:rPr>
          <w:b w:val="0"/>
        </w:rPr>
        <w:t>Herr talman, mina herrar! Det är icke utan tvekan jag begärt ordet i den föreliggande frågan, då jag har att vända mig emot ett enhälligt konstitutionsutskott. Men jag känner det såsom en plikt att här uttala, hvilken ståndpunkt jag intager i denna fråga. Såsom ordförande under 20 år i en kollegial domstol har jag nämligen haft anledning att med särskild uppmärksamhet följa högsta domstolens åtgöranden för att vinna vägledning i mitt eget kall.</w:t>
        <w:br/>
        <w:br/>
        <w:t>Själf har jag deltagit i konstitutionsutskottets behandling af detta ärende, men varit med vid afgörandet endast i afseende å $ 26 regeringsformen, den enda punkt således, i hvilken utskottet efter en ganska omfattande diskussion beslöt att ställa sig på en motsatt ståndpunkt emot motionärens. För min del anser jag, att samma skäl, som utskottet användt för sitt afslag å motionärens hemställan i denna del, jämväl kan användas i ganska omfattande</w:t>
        <w:br/>
        <w:br/>
        <w:t>grad emot hans förslag i dess helhet. Utskottet har — såsom herrarne läsa på sidan 15 i betänkandet, första stycket — beträffande $&amp; 26 sagt, att utskottet icke funnit den af motionären föreslagna ändringen vara af behofvet påkallad, samt att det fortfarande torde böra vara så, att de ledamöter af högsta domstolen, hvilka skola närvara i justitiekonselj, alltid böra vara ordinarie. Men jag undrar, om icke samma motiv, hvilket vi veta ligga bakom detta »torde», gäller med hänsyn till herr Lindhagens hela motion.</w:t>
        <w:br/>
        <w:br/>
        <w:t>Till en början vill jag göra en historisk erinran med afseende på högsta domstolen i vårt land. Professor Blomberg har i sin afhandling om Sveriges högsta domstols statsrättsliga betydelse gått tillbaka till tider, som ligga framför 1789, då Gustaf den tredje inrättade den nuvarande högsta domstolen. I detta enligt mitt förmenande ganska värdefulla arbete påvisas, hvilka faror det i många fall fört med sig, att icke högsta dom fällts af sådana män, som haft en fullt fast och själfständig ställning. Särskildt under tiden från 1789 till 1809 var detta händelsen, då — såsom flertalet af herrarne torde hafva sig bekant — högsta domstolens ledamöter voro tillsatta blott på förordnande. De erfarenheter, som under dessa 20 år gjordes, voro af den beskaffenhet, att konstitutionsutskottet vid 1809 års riksdag fastslog såsom en af samhällsordningens hörnstenar, att i högsta domstolen skulle sitta män, som för att bevara full själfständighet vore oafsättliga och ständiga ledamöter. Då man nu ifrågasätter att frångå en grundsats, som under inemot 100 år visat sig så synnerligen god och betryggande, måtte det väl vara befogadt att göra invändningar däremot.</w:t>
        <w:br/>
        <w:br/>
        <w:t xml:space="preserve">Det, som härvidlag alltid i främsta rummet framträder, är, att till värn för medlemmarnes fullt oberoende ställning ledamotskap af högsta domstolen icke bör vara af tillfällig natur. Man har uttalat farhågor för att tillfälliga ledamöter af högsta domstolen skulle vara utsatta för alltför stora frestelser till osjältständighet, särskildt med hänsyn till högsta domstolens uppgift att döma i högmålssaker och beträffande riksdagsmannaval. För min del tror jag just icke härpå. Ty om detta också varit fallet i forna tider — och vi veta, att så skedde namneligen genom Reuterholms inflytande under Gustaf IV Adolfs förmyndarregering — så torde det numera knappast vara att befara. Men en annan sak är, huruvida icke ett ganska stort antal medborgare i vårt land hysa en sådan föreställning, och huruvida icke här gäller satsen, att Cesars </w:t>
      </w:r>
      <w:r>
        <w:rPr>
          <w:b/>
        </w:rPr>
        <w:t>maka³</w:t>
      </w:r>
      <w:r>
        <w:rPr>
          <w:b w:val="0"/>
        </w:rPr>
        <w:t xml:space="preserve"> icke ens får misstänkas. Jag undrar nämligen, om det icke kunde hända, att personer, som rönte motgång i högsta domstolen, komme att skjuta skulden härför på det förhållandet, att tillfälliga ledamöter, hvilkas framtida befordran vore prekär, deltagit i behandlingen af deras mål och måhända äfven afgjort dem.</w:t>
        <w:br/>
        <w:br/>
        <w:t>Onsdagen den 15 Mars. 35 — N:o 22. Utom detta principiella skäl har jag några praktiska synpunk- Om ändrad ter att framhålla emot det föreliggande förslaget. Först och främst lydelse af $$ fruktar jag nämligen, att, om man beträder den här föreslagna 7,0 24 och Jag gen, att, n här TÖreslagna 103 regeringsvägen, man kommer att låta det första steget följas af flera andra, — formen. så att efter hand en utvidgning sker af ett förhållande, som, enligt = (Forts.) hvad alla erkänna, bör vara af sällspord och öfvergående natur. Det ligger så nära till hands att, då ett justitieråd behöfves för en statsrådsplats eller såsom ledamot — sannolikt ordförande — i en kommitté eller dylikt, låta dennes plats tills vidare beklädas af en tillfälligt förordnad ledamot. Extraordinariesystemet är redan förut vidsträckt nog i vårt land, för att man icke bör genom ett tillvägagående sådant som det nu föreslagna gifva detta system ännu mer hemul ibland oss. Vidare befarar jag, att kontinuiteten inom högsta domstolen icke skulle blifva lika god, som den nu är, och domstolens auktoritet äfven därpå lida. För närvarande går det så till, att vid s. k. plena, då hela domstolen för afgörande af särskilda mål sammanträder, en minnesbok föres, i hvilken ärendena antecknas; och de där antecknade plenarbesluten anses böra vara för framtiden vägledande. Ifall nu den föreslagna anordningen med e. o. bisittare vidtages, skall denna minnesbok komma att få vida mindre betydelse, än den för närvarande har. Det kunde ju hända, att emellanåt beslutet fattades af en minoritet bland de ordinarie justitieråden jämte några tillfälligt förordnade, hvilka vid ett följande plenum ersatts af andra sådana med olika uppfattning med de förra i ett likartadt mål. Slutligen är det alltför möjligt, att den mångsidiga erfarenhet, som är önskvärd hos högsta domstolens ledamöter, i framtiden icke skulle i samma grad vara för handen. För närvarande utgöres högsta domstolen af två f. d. häradshöfdingar, en f. d. rådman vid rådstufvurätt och för öfrigt af f. d. assessorer i landets 3 hofrätter. En mångsidig och omfattande erfarenhet är således här representerad. Nu säges det, att man naturligtvis äfven för framtiden skulle söka att tillgodogöra sig erfarenheten hos domare från skilda delar af vårt land. Men en sak är, hvad man önskar, och en annan, hvad man verkligen lyckas ernå. Jag kan mycket väl tänka mig, att en skicklig domare på landet gärna skulle mottaga en kallelse till justitieråd, ifall det vore fråga om en ständig plats som sådan, men att han däremot vägrar mottaga ett tillfälligt, blott några få år gällande förordnande på grund af de ekonomiska svårigheter, som därmed skulle vara förknippade. Visserligen kunna dessa svårigheter till någon del afhjälpas därigenom, att staten anslår tillräckliga medel, som dock måste tagas till ganska rundligt, om den kallade köpt sig eller för längre tid hyrt bostad i landsorten; men delvis låta hindren sig icke på ekonomisk väg aflägsnas, såsom om den, hvilken fått för ett par, tre år mottaga ett</w:t>
        <w:br/>
        <w:br/>
        <w:t>sådant anbud, har barn i den åldern, att de behöfva uppfostran. Han kan finna det ganska svårt att för en obestämd tid taga barnen ur de uppfostringsanstalter, uti hvilka de då äro satta, för att, när hans förordnande upphört, på nytt låta ett dylikt ombyte äga rum. Äfven en annan omständighet tvekar jag icke att framdraga. Jag undrar, huruvida människor i allmänhet just tycka om att sättas på prof, hvari de måhända skola befinnas icke hålla måttet. Om en person icke komme i fråga att blifva ordinarie justitieråd vid inträffande ledighet, sedan han under en tid varit i högsta domstolen tillfälligt förordnad, är jag rädd för att mången skulle betrakta detta</w:t>
        <w:br/>
        <w:br/>
        <w:t>:som en prickning och vid tanken därpå föredraga att stanna på</w:t>
        <w:br/>
        <w:br/>
        <w:t>den anspråkslösare plats, som han innehade, än att gifva sig in i förhållanden, som medförde en dylik eventualitet.</w:t>
        <w:br/>
        <w:br/>
        <w:t>Sedan jag sålunda anfört skälen för min ståndpunkt i denna fråga, vill jag något beröra de farhågor, som från motsatt håll uttalas med afseende å det andra alternativet till den förefintliga balansens afveckling, som ju måste ske på ett eller annat sätt. Bland de olägenheter, som onekligen äro förenade med ett sådant tillvägagående, som Kungl. Maj:t föreslår, torde den mest betydaude — jag föreställer mig, att de med ärendet förtrogne skola gifva mig rätt härutinnan — vara den, som följer af arbetet på afdelningar, hvilka emellanåt bestå af blott fem ledamöter. Ty redan den där utsöndringen enligt &amp; 22 regeringsformen af »ringare mål» är för ett svenskt sinne mycket litet tilltalande. Ej heller bör eller kan principen om målens pröfning af flere i högsta instans än i underrätterna frånkännas berättigande. Det är visserligen icke införandet af någon ny ordning härvidlag, som nu föreslås, utan här är fråga om någonting, som mycket länge förekommit och som väl i någon mån under alla förhållanden måste förekomma. Justitieråden kunna sjukna eller få annat förfall, och med hänsyn därtill kan det blifva relativt nödvändigt, att afdelningarna inom högsta domstolen icke alltid äro lika stora, eller att antalet ledamöter i desamma ibland understiger sju. Häremot finnes ingen anuan hjälp än att i grundlag fastslå, att högsta domstolen är icke beslutmässig, kan icke inträda i sina funktioner, med mindre än att sju ledamöter äro närvarande.</w:t>
        <w:br/>
        <w:br/>
        <w:t>Efter år 1897 har olägenheten med afdelningar å fem ledamöter blifvit större än förut. Ty såsom herrarne torde erinra sig, bestämde Riksdagen nämnda år, att antalet ledamöter i högsta domstolen skulle ökas från 16 till 18, men därmed förbands, att under åtminstone sex veckor af året skulle arbetet bedrifvas på en tredje afdeluving, bestående af fem ledamöter. Jag vill likväl å andra sidan fästa uppmärksamheten på att det är kutym i högsta domstolen, att om afdelningen består af endast fem ledamöter och till föredragning anmäles ett mål af sådan beskaffenhet, att det kan i någon mån vara tvifvelaktigt, huruvida målet är att hänföra</w:t>
        <w:br/>
        <w:br/>
        <w:t>till de s. k. ringare målen, får den, som är föredragande inom af- Om ändrad delningen, göra en kort exposé af målets innebörd. Därefter are så $$ a : 5 : , 26, och bestämmes, om det skall i dess helhet föredragas eller icke; och 703 regeringsdet lär icke behöfvas mer, än att en enda af bisittarne uttalar sin — formen. betänklighet häremot, för att ett sådant mål i stället blifver före- — (Forts.) draget, om hvars beskaffenhet såsom sådant, att för dess pröfning icke fordras mer än fem domare, intet tvifvel råder. Och på sådana mål torde man, på grund af vårt folks benägenhet att »gå till kungs» med snart sagdt allt möjligt, aldrig komma att lida brist, så länge rätten därtill finnes. Ehuru jag delar motionärens uppfattning rörande behofvet af försiktighet, då man går att inskränka denna urgamla svenska rätt, kan jag ej annat än erkänna nödvändigheten däraf. Men hvad som synes mig likasom honom tillika värdt att tänka på såsom ett medel till förebyggande af nya arbetsbalanser, det vore en ändring i afseende på hvad han kallar »arbetsledningen inom domstolen». I vår högsta domstol är ju icke, såsom i andra länders högsta domstolar, en eller flera af ledamöterna förordnade att leda och öfvervaka arbetet. På hvarje afdelning är den äldste ledamoten själfskrifven ordförande utan hänsyn till hans större eller mindre lämplighet för ett sådant värf. Huru tilltalande detta må i och för sig vara, praktiskt är det ej. På grund af hvad jag nu haft äran anföra, torde man knappast kunna vänta sig från min sida annat än ett yrkande på afslag å utskottets hemställan. Jag skall dock, herr talman, uppskjuta därmed, tills det visat sig, om denna min åsikt inom kammaren finner någon anslutning.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979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