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991</w:t>
      </w:r>
    </w:p>
    <w:p>
      <w:r>
        <w:rPr>
          <w:b/>
        </w:rPr>
        <w:t xml:space="preserve">Datum: </w:t>
      </w:r>
      <w:r>
        <w:t>1905-05-13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Hjalmar Branting (Socialdemokraterna, man)</w:t>
      </w:r>
    </w:p>
    <w:p>
      <w:r>
        <w:rPr>
          <w:b w:val="0"/>
        </w:rPr>
        <w:t>Herr talman, mina herrar! När detta lagförslag remitterades till lagutskottet, hade jag tillfälle att så pass utförligt genomgå detsamma från min synpunkt, att jag ämnat afhålla mig från att deltaga i denna debatt, om icke här hade fällts en del uttalanden med en mycket sympatisk och sonor stämma, hvilka emellertid syntes mig vara dels så pass personligt adresserade till mig och dels i allmänhet af en bakom det blida ombhöljet faktiskt så upphetsande karaktär, att jag icke kunnat underlåta att därpå svara några ord.</w:t>
        <w:br/>
        <w:br/>
        <w:t>Herr Hammarskjöld framhöll, att han i princip erkände strejkrätten. Ja, jag tror att man skall vara synnerligt långt efter sin tid för att icke kunna göra ett sådant erkännande. Men där det gäller praktiken, fruktar jag, att våra vägar mycket hastigt skulle kunna skiljas, äfven om vi å ömse sidor bemödade oss att i det längsta hålla dem samman. Ty herr Hammarskjöld syntes mig i sitt följande resonemang till den grad lägga hufvudtyngdpunkten vid att, som han sade, »förtryck» och »tvång» icke skulle kunna gillas, att han för den synpunkten — den enskildes rätt — fullständigt förbisåg att i dessa sociala konflikter något dock måste finnas, som heter disciplin.</w:t>
        <w:br/>
        <w:br/>
        <w:t>Det är klart, att en sammanslutning kan drifvas för långt. Jag vet icke, hvad herr Hammarskjöld skulle fälla för omdöme om det-slag af tvång, som utöfvas genom arbetsgifvarnes sammanslutningar, där de, som ingå i desamma, åläggas vid synnerligt hårda, understundom rent af ruinerande böter att fullfölja ett beslut, som majoriteten af sammanslutningen har fattat. Men visst är, att detta är också tvång. Det är en nödvändighet, som sammanhänger med kapitalets och arbetets problem under de sociala förhållanden, hvari vi lefva, att härarne i någon mån stå med obrutna linjer mot hvarandra å den ena sidan likaväl som å den andra, och att man därvid måste söka se till, att man kan göra det utan affällingar, utan, som arbetarne säga, förrädare. Det är klart — jag upprepar det — att här är en ömtålig punkt. Det kan hända,</w:t>
        <w:br/>
        <w:br/>
        <w:t>att tvånget stundom å den ena sidan eller å den andra sidan drifves förlångt. Meniså fall har Riksdagen för sin del redan stiftat en undantagslag gentemot det allt för långt drifna tvånget från arbetarnes sida, nämligen den bekanta lagen af 1899, den så kallade Akarpslagen, däri beståmmelser finnas till skydd, som det heter, för »arbetets frihet». Vi ha yrkat för vår del, att, eftersom redan denna frihetsprincip är godkänd i den allmänna strafflagen, vi icke skulle hafva ytterligare stiftad en enkom undantagslag, som med särskildt oxtra straff belade det klandervärda tvånget, hotet och våldet, när det utöfvas i syfte att förmå någon att deltaga i strejk o. s. v. Men det är en sak. Mot den allmänna principen har icke från arbetarehåll rests gensaga. Vi ha yrkat blott på, att undantagslagen, klassmärket skulle försvinna ur denna lagparagraf, och det är för öfrigt samma synpunkt, som vi förfäktat i afseende på här ifråga varande lag.</w:t>
        <w:br/>
        <w:br/>
        <w:t>Nu har i följd af lagutskottets jämkning en rent formell ändring vidtagits i den ena af dessa lagparagrafer, så att justitieministern nyss kunnat åberopa, att felet i detta afseende är fullt rättadt. Men oafsedt den sakliga innebörden af denna rättelse, så vill jag säga, att hela denna lagstiftning på grund af den debatt, som nu föres, på grund af sin tillkomst, på grund af sina utgångspunkter dock ohjälpligen bär klasslagens märke, och att de ändringar, som sedan kunnat vidtagas för att göra den så att säga mera aptitlig, icke kunna utplåna spåren af detta från början förhatliga märke.</w:t>
        <w:br/>
        <w:br/>
        <w:t xml:space="preserve">Jag fortsätter med herr Hammarskjölds till klasshat något upphetsande tal. Han talade om och skildrade för kammaren i sina vanliga vältaliga vändningar, huru vi inom arbetarerörelsen tillämpa broderskapet, tillämpa det på sätt, som kändt är, — mot strejkbrytare. Han vädjade särskildt till den ridderlighetskänsla, som finnes, hoppas jag, hos oss alla, och som uppröres desto mera, när i sådana konflikter det gäller </w:t>
      </w:r>
      <w:r>
        <w:rPr>
          <w:b/>
        </w:rPr>
        <w:t>kvinnan¹</w:t>
      </w:r>
      <w:r>
        <w:rPr>
          <w:b w:val="0"/>
        </w:rPr>
        <w:t xml:space="preserve">. Han framhöll, att det Ju är rent af upprörande, att en </w:t>
      </w:r>
      <w:r>
        <w:rPr>
          <w:b/>
        </w:rPr>
        <w:t>kvinna¹</w:t>
      </w:r>
      <w:r>
        <w:rPr>
          <w:b w:val="0"/>
        </w:rPr>
        <w:t xml:space="preserve"> icke får arbeta, om </w:t>
      </w:r>
      <w:r>
        <w:rPr>
          <w:b/>
        </w:rPr>
        <w:t>hon²</w:t>
      </w:r>
      <w:r>
        <w:rPr>
          <w:b w:val="0"/>
        </w:rPr>
        <w:t xml:space="preserve"> icke går in i sin fackförening.</w:t>
        <w:br/>
        <w:br/>
        <w:t xml:space="preserve">Ett sådant uttalande, ja, hvad bevisar det? Hvad säger statistiken om de arbetande </w:t>
      </w:r>
      <w:r>
        <w:rPr>
          <w:b/>
        </w:rPr>
        <w:t>kvinnorna¹</w:t>
      </w:r>
      <w:r>
        <w:rPr>
          <w:b w:val="0"/>
        </w:rPr>
        <w:t xml:space="preserve"> och fackföreningsrörelsen? Jo, att omkring 2 Z af de </w:t>
      </w:r>
      <w:r>
        <w:rPr>
          <w:b/>
        </w:rPr>
        <w:t>kvinnor¹</w:t>
      </w:r>
      <w:r>
        <w:rPr>
          <w:b w:val="0"/>
        </w:rPr>
        <w:t xml:space="preserve">, som i Sverige försörja sig af arbete inom industrien, för närvarande äro inrangerade i fackföreningar. Alla de öfriga 98 2 skulle enligt herr Hammarskjölds yttrande icke »få arbeta», om de icke ginge in i fackförening. Man ser, huru verkligheten slår sådana påståenden i ansiktet. Det förhåller sig förvisso så, att vi önska, att just för dessa sämst ställda, för de arbetande </w:t>
      </w:r>
      <w:r>
        <w:rPr>
          <w:b/>
        </w:rPr>
        <w:t>kvinnorna¹</w:t>
      </w:r>
      <w:r>
        <w:rPr>
          <w:b w:val="0"/>
        </w:rPr>
        <w:t xml:space="preserve"> organisationen måtte komma till och gifva dem någon lyftning i deras allt för betryckta, allt för eländiga ställning. Just för att höja dem äfven ur sådana olyckliga förhållanden, som herr Hammarskjöld anspelade på och som vi</w:t>
        <w:br/>
        <w:br/>
        <w:t xml:space="preserve">alla känna, är det som fackföreningsrörelsen söker vinna spridning bland </w:t>
      </w:r>
      <w:r>
        <w:rPr>
          <w:b/>
        </w:rPr>
        <w:t>kvinnorna¹</w:t>
      </w:r>
      <w:r>
        <w:rPr>
          <w:b w:val="0"/>
        </w:rPr>
        <w:t xml:space="preserve">. Men då är det hårdt, att en sådan rörelse skall stämplas såsom fientlig mot </w:t>
      </w:r>
      <w:r>
        <w:rPr>
          <w:b/>
        </w:rPr>
        <w:t>kvinnans¹</w:t>
      </w:r>
      <w:r>
        <w:rPr>
          <w:b w:val="0"/>
        </w:rPr>
        <w:t xml:space="preserve"> frihet, mot den frigörelse, som vi alla önska de </w:t>
      </w:r>
      <w:r>
        <w:rPr>
          <w:b/>
        </w:rPr>
        <w:t>kvinnliga¹</w:t>
      </w:r>
      <w:r>
        <w:rPr>
          <w:b w:val="0"/>
        </w:rPr>
        <w:t xml:space="preserve"> arbetarne.</w:t>
        <w:br/>
        <w:br/>
        <w:t>Herr Hammarskjöld fortsatte med att tala åtskilligt om storstrejk. Han rekommenderade en broschyr, som skulle visat, huru en sådan tett sig i Italien. Jag har också läst den där broschy ren Den är författad af redaktören för Göteborgs Aftonblad, docenten Lundström, och utmärker sig för att vara en den ensidigaste skildring, som jag sett på ganska länge, och jag har sett rätt mycket af ensidighet från högerhåll, det kan jag försäkra herrarne. Genom den broschyren gick som en röd tråd turistens förargelse öfver, att det icke kunde blifva i det samhälle, som han besökte, på det sätt, som han önskat och hoppats. Men lika visst är, att i den broschyren fanns icke på alla dess sidor ett uttryck af förståelse af den folkrörelse, midt i hvilken dessa svenska turister råkat in, icke ett enda uttryck af förståelse, hvarför de italienska massorna befunno sig vid detta tillfälle i en sådan svallning. Det var därför att det skjutits på folket rundt omkring i landet. Det hade inträffat gång efter annan särskilda oroligheter, vid hvilka det ansågs från arbetarehåll, att karabiniererna gjort på det hänsynslösaste sätt bruk af sina vapen, och det hade fallit några offer redan. Så föll det några till. Då var måttet efter arbetarnes uppfattning rågadt, och arbetarne gingo ut för att protestera emot ett system, som sköt ner deras bröder, utan att det efter deras uppfattning gifvits tillräcklig anledning för våldsamt tillv ägagående. Men om allt detta finnes ingenting i broschyren — den synpunkten är borta! Sedan kan man förstå, att det kunnat komma att uppstå sådana öfvergrepp, som under upprörda tider, under revolutionstider, så lätt uppkomma. Men skall man skildra storstrejken med utelemnande af anledningarna till densamma, så kan man precis likaväl skildra den franska revolutionen med utelämnande af anledningarna till densamma och endast framställa den såsom gatuexcesser af pöbeln i Paris och ingenting annat.</w:t>
        <w:br/>
        <w:br/>
        <w:t>Det yttrades af herr Hammarskjöld såsom en solklar sak, att det måste finnas en lag till skydd för vissa viktiga arbetsgrenar, af hvilka samhällets trefnad och jämna fortgång beror. Ja, men det finnes redan nu mycket starka band i detta afseende. Eller räkna herrarna det för ingenting, att personalen vid järnvägarne, om den lämnar sitt arbete, blir i och med detsamma afskedad? Räknas det för ingenting, att den med detta sitt afsked icke blott mister sina framtidsförhoppningar om en betryggad, om också i ekonomiskt afseende mycket knapp existens, utan därtill äfven mister — hvilket f. ö. kan vara ur rättslig synpunkt omtvisligt — alla de insatser, som den själf under många år gjort till sina pensionskassor? Det, som den enskilde betalat, det strykes bort i</w:t>
        <w:br/>
        <w:br/>
        <w:t>ett enda slag. Tror man icke, att sådana band för fattiga arbetare äro tillräckligt bindande, utan att man därtill behöfver komma med hot om böter och fängelse? Och när man sedan på detta sätt väckt en förbittrad stämning skall man då komma och säga: nu ha vi ställt det riktigt klokt, nu ha vi det så bra förspändt, att någon storstrejk icke behöfver komma i fråga! Illa känner den människonaturen, som tror att genom sådant förfarande, som regeringen föreslår, man skulle nå det syfte, gom väl ändå varit regeringens. |</w:t>
        <w:br/>
        <w:br/>
        <w:t>Ur samma synpunkter skall jag be att också få vända mig med ett par ord mot det förslag, som af herr Brock gjorts i hans yrkande, som går ut på afslag af 22 $ i 19 kap. af formella skäl, men bifall till förändringen i 25 kapitlet. För honom var det nämligen, om jag hörde honom rätt, visserligen önskvärdt, att järnvägsfolket skulle komma till de fördelar, med en tryggad ämbetsmannaställning, som dessa personer för närvarande icke hafva, men i afvaktan på det kunde man, enligt hans uppfattning, så gärna nu med detsamma antaga straffen. Jag tror icke, mina herrar, att detta är ett rätt sätt att gå till väga. Icke brådskar det så med straffen, att icke, om man skall gå fram på en sådan väg, dessa personer också må få fördelarne samtidigt. Det är väl dock en rimlig ståndpunkt detta. Och öfver hufvud taget -— det vill jag komma till — är det just själfva kärnpunkten uti det misstag, hvartill regeringen gjort sig skyldig, när den framlade detta förslag, att den velat ensamt bjuda på det straffande, det onda, det som skall kännas såsom en utmaning. Det har den bjudit på, men icke på något af det andra, icke det som arbetareklassen hade väntat på, icke det som till och med aftalslagskommittén hade föreslagit, då den försökte, efter sin uppfattning, att sätta kyrkan midt i byn — något så när — och sedan i konsekvens med detta kom med detta förslag.</w:t>
        <w:br/>
        <w:br/>
        <w:t>I och med detta är jag inne på det aktstycke, som herr justitieministern åberopade alldeles nyss och som jag här har i min hand, nämligen landssekretariatets inlaga till öfverståthållareämbetet i Stockholm. Där är på 3!'/2 tätt tryckta spalter utredt, hvarför landsorganisationen för sin del icke ansett sig kunna gå med på den tankegång, som gjort sig gällande uti aftalslagskommitténs förslag. Herr justitieministern gaf själf erkännande åt denna utredning och de synpunkter, som däri förebragts. Nåväl, sedan på ett par ställen mot slutet, så säger detta landssekretariat, som består utaf praktiskt erfarna arbetare, men icke utaf jurister, att, då kommittén har funnit sig föranlåten att föreslå ändringar i straffen, så vill sekretariatet emellertid icke gå in på någon juridisk kritik däraf, blott med undantag af en enda anmärkning rörande det obestämda i 19 kap. på ett ställe. Men så slutar det hela, hvilket</w:t>
        <w:br/>
        <w:br/>
        <w:t>herr justitieministern icke uppläste, på följande sätt: »Vi kunna därför påstå, att föreliggande lagförslag är helt och hållet onödigt och rent af farligt för en sund samhällsutveckling och särskildt för arbetsaftalet» o. s. v. Efter ettså generellt omdöme har man naturligtvis icke ansett nödigt att med juridiska finesser motivera allehanda saker, som rörde detta tillägg, hvilket man betraktade såsom en liten konsekvens af det, hvarom saken egentligen rörde sig. Men då kan man väl däraf dock icke draga den triumferande slutsatsen, att landsorganisationen och de, som stå bakom den, på den tiden icke hade någonting att invända mot förslaget. Jag har visserligen sett den slutsatsen dragen i Nya Dagligt Allehanda. Men det imponerar icke mycket på mig. Jag beklagar, att herr justitieministern nu har upprepat densamma, ty jag måste fortfarande känna mig allt för litet imponerad däraf.</w:t>
        <w:br/>
        <w:br/>
        <w:t>Nu erinrade herr justitieministern om, att i England skulle också vara en lagstiftning utaf denna art, som man icke från arbetarehåll särskildt vändt sig fientligt mot. Javäl, låt oss få alla de förutsättningar, som man har för arbetarerörelsen i England, låt oss få det, som finnes där: en så långt utsträckt rösträtt, som där finnes, hvarigenom arbetareklassen, när den vill, kan bevaka sina intressen och bevaka sina rättigheter; låt oss få det sedan lång tid där bestående faktiska erkännandet af fackföreningsrörelsen genom att dess medlemmar kallas in till samråd af regeringen, när det är fråga om utarbetandet af lagförslag, som röra arbetarevärldens angelägenheter; låt oss få allt detta här, hela den ställning, hvaruti arbetareklassen (jag talar om den organiserade och den bättre ställda), där befinner sig — ja, då kan man mycket väl förstå, att en sådan kvarlefva från det äldre åskådningssättet i den engelska lagen, hvilken, såsom vi alla känna, har varit ganska barbarisk i långa tider, kan genom praxis skjutas åt sidan, så att något särskildt behof af dess formella afskaffande icke visat sig. Men icke skall man däraf draga den slutsatsen: låt oss bara taga upp sådana rester från den gamla hårda lagstiftningen, ty sådana finnas kvar i »det fria England», och där reser sig ingen däremot. Nej, låt oss då få det hela — då kunna vi resonera om, i hvad mån vi kunna följa med på de inskränkningar i afseende å arbetarnes rörelsefrihet, som här ha varit bragta på tal. I det fallet förstår jag f. ö. ganska väl, att herr justitieministern kunde taga fasta på uttalanden från reservanterna. Ja, här finnas uttalanden, särskildt uti herr Lindhagens reservation, hvilka ganska nära öfverensstämma med den tankegång, som finnes uti det här aktstycket från landsorganisationen, fastän ingendera hade kunskap den ena om den andra. Där ser man, att man alltså kan komma fram äfven i dessa ting till vissa fasta punkter. Men det sker icke genom att rycka loss ur sitt sammanhang några strafflagsbestämmelser och kasta</w:t>
        <w:br/>
        <w:br/>
        <w:t>dem så att säga i ansiktet på arbetarne och säga: »Här ha ni, det andra få ni vänta på». Herr talman, jag yrkar afslag!</w:t>
      </w:r>
    </w:p>
    <w:p>
      <w:pPr>
        <w:pStyle w:val="Heading2"/>
      </w:pPr>
      <w:r>
        <w:t>2. unknown (–, –)</w:t>
      </w:r>
    </w:p>
    <w:p>
      <w:r>
        <w:rPr>
          <w:b w:val="0"/>
        </w:rPr>
        <w:t>Herr talman! Det är enligt min åsikt af en viss betydelse, att kammarens ledamöter vid detta tillfälle öppet angifva sin ställning till den föreliggande frågan. Och det är egentligen af den orsaken som jag här har begärt ordet. Det kan icke falla mig in, sedan debatten så långt fortgått, att inlåta mig på en vederläggning af de juridiska eller opportunistiska skäl, som blifvit anförda mot lagen. Dessa skäl hafva redan af föregående talare och senast af herr statsrådet och chefen för justitiedepartementet blifvit, enligt min uppfattning, alldeles tillräckligt bemötta. Jag skall icke heller inlåta mig på något slags diskussion utaf de känslofulla deklamationer, uppblandade dock med ett genomskinligt hot, som vi här från några talare fått höra. Sådant bryr jag mig icke om. Och jag anser, att det icke på sakens utgång kan hafva något verkligt inflytande. Jag skall icke heller inlåta mig på den tvist, som uppstått mellan den föregående talaren och herr Hammarskjöld, emedan jag är fullkomligt viss därpå, att herr Hammarskjöld själf kommer att gifva honom det svar, han förtjänar.</w:t>
        <w:br/>
        <w:br/>
        <w:t>Men jag vill fästa mig vid ett par uppgifter, som den föregående talaren på stockholmsbänken har gifvit i anledning af den jämförelse, som herr statsrådet och chefen för justitiedepartementet har uppdragit mellan den lagstiftning, som nu är i fråga, och den engelska lagstiftningen af år 1875. Herr Branting anförde, att England på den tiden hade helt andra arbetareförbållanden, än vi för närvarande äga. Arbetarne där skulle hafva haft ofantligt mycket större förmåner, än de hafva i vårt fädernesland. Jag vill mot detta anmärka det, att det var just genom den lagstiftning, som år 1875 och under de närmast föregående åren förberedts, som föreningsrätten i själfva verket i fullt mått tillerkänts de engelska Trade Unions, det vill säga fackföreningarna. De hade stått under en mycket inskränkande lagstiftning eller lagskipningshäfd, någonting helt annat än hos oss och till hvilket vi här i landet icke haft motstycke. Vidare var visserligen en rösträttsreform genomförd några år förut. Denna rösträttsreform gaf dock ingalunda allmän rösträtt. Den tarfvade en ytterligare utsträckning, som först 10 år efter denna arbetarelagstiftning af år 1875, nämligen 1884 och 1885, kom till stånd. Man kan icke säga, att det strängt taget ännu i England råder allmän rösträtt. Men här i Sverige har ju regeringen framlagt ett förslag om allmän rösträtt. Detta förslag har emellertid blifvit tillbakavisadt här inom kammaren och icke minst från det håll, där man rest det starkaste</w:t>
        <w:br/>
        <w:br/>
        <w:t>motstånd mot den arbetarelagstiftning, som här är 1 fråga. Och utom Riksdagen hafva vi ju hört en ännu värre opposition mot detta rösträttsförslag. Således kan jag icke alls finna, att parallellen är utaf den art, som herr Branting har velat göra gällande. Det är icke så, att den strejklagstiftning, som i England genomfördes 1875, framkom i sammanhang med en hel mängd andra nya arbetarelagar till arbetarnes förmån. Det är först långt efteråt, först efter år 1875, som den modärna engelska arbetarelagstiftningen räknar sin bästa tid. En sådan tid hoppas jag visserligen äfven måtte komma här 1 Sverige, ehuru jag starkt tviflar på att det kommer att ske på den socialistiska vägen, lika litet som denna väg visat sig fruktbärande på den engelska arbetarelagstiftningen.</w:t>
        <w:br/>
        <w:br/>
        <w:t>Vidare har herr Branting talat "starka ord om discipin och tvång såsom nödvändiga moment uti samhällsrörelsen, Ja, han kan hafva rätt. Skall” det finnas en klasskamp, så måste denna klasskamp naturligtvis föras mellan organisationer, inom hvilka någon slags disciplin råder. Men må vi komma ihåg, att denna klasskamp i så fall ändå alltid måste röra sig inom samhällets ram. Och det är samhället, staten, som stadgar de normer eller, så alt säga, den krigsrätt, som skall råda mellan de båda parterna. Här är det just fråga om en sådan krigsrätt. Och för att visa, att denna krigsrätt ingalunda står utan exempel i fria länder i</w:t>
        <w:br/>
        <w:br/>
        <w:t>våra dagar, så vill jag anföra någonting, som kanske herr Branting känner. Det är hvad som hände uti den fria australiska staten Victoria för 2 år sedan. Det var ett bevis på disciplin, på offentlig disciplin, som verkligen förtjänar alla loford. Det var nämligen så, att det hade uppstått en konflikt mellan fackföreningarna och statsmakten i Victoria. Fackföreningarna ville tvinga statens järnvägsarbetare och öfver hufvud taget alla i statens tjänst anställda att inträda i deras led, under det att regeringen satte sig däremot. Då påbjödo [fackföreningarna strejk — och en järnvägsstrejk — samt tvingade genom sitt inflytande järnvägsarbetarne, åtminstone en stor del af dem, att vara med. Hvad gjorde då regeringen? Jo, Victorias premiärminister sammankallade parlamentet till ett urtima möte och där framlade han ett lagförslag, som lydde så, att en sådan strejk skulle betraktas som ett straffbart brott, och vidare att alla tryckta uppmaningar till sådan strejk skulle beläggas med straff, samt hvar och en af statens tjänstemän, som nedlade sitt arbete, utan att på förhand, 14 dagar förut, hafva gifvit det till känna, skulle göra sig skyldig till 100 punds d. v. s. 1,800 kr. böter eller 1 års fängelse, och han skulle för alltid hafva mist alla kvalifikationer för inträde i statens tjänst.</w:t>
        <w:br/>
        <w:br/>
        <w:t>Vidare skulle alla möten för denna strejk förklaras olagliga och förbjudas, all strejklitteratur skulle konfiskeras och förstöras samt boktryckarne förklaras straffskyldiga.</w:t>
        <w:br/>
        <w:br/>
        <w:t>Detta lagförslag antogs i första läsningen med en ganska stor</w:t>
        <w:br/>
        <w:br/>
        <w:t>pluralitet inom parlamentet, samt därefter och efter några sprattlingar upphörde järnvägsstrejken och arbetarne återgingo till sitt arbete.</w:t>
        <w:br/>
        <w:br/>
        <w:t xml:space="preserve">På detta sätt förfor man 1 Victoria för två år sedan, och det är dock att märka, att Victoria är en stat, som har äfven skiljenämnd och skiljedom o. s. v. i arbetstvister, samt är en stat, som har allmän rösträtt; till och med </w:t>
      </w:r>
      <w:r>
        <w:rPr>
          <w:b/>
        </w:rPr>
        <w:t>kvinnor¹</w:t>
      </w:r>
      <w:r>
        <w:rPr>
          <w:b w:val="0"/>
        </w:rPr>
        <w:t xml:space="preserve"> hafva där rösträtt. Man ansåg sig dock där, när en järnvägsstrejk framkallades af uppstudsiga och öfvermodiga arbetareföreningar, kunna stifta en sådan undantagslag. Det var en undantagslag, och därför togs den tillbaka, sedan den utöfvat sin verkan.</w:t>
        <w:br/>
        <w:br/>
        <w:t>Hvad är i fråga om stränghet denna lag, som regeringen nu föreslagit? Denna lag gäller alla och den innebär icke något slags inkräktande på tryckfrihet eller församlingsfrihet. Därför är det af största vikt, att just denna lag antages af kammaren, på det att vi en gång, om en sådan svår olycka som en järnvägsstrejk skulle utbryta, icke behöfva stifta en sådan undantagslag. Jag anför emellertid detta såsom ett exempel därpå, att äfven i de friaste länder det ingalunda i våra dagar anses vara onödigt att häfda statsmakternas auktoritet mot alla enskilda intressen, äfven mot sådana fackföreningar som de australiska, hvilka sträfva att utbilda sig själfva till en stat i staten och att få alla offentliga maktmedel i sina händer. Det är en sådan sträfvan, som vi böra i tid söka förebygga, och det är endast på en sådan grundval, som bildas af en stark statsmakts auktoritet och vördnad för lagarnes helgd, som en reformatorisk arbetarelagstiftning kan med hopp om framgång främjas.</w:t>
        <w:br/>
        <w:br/>
        <w:t>På grund af dessa skäl anhåller jag, herr talman, att få yrka bifall till utskottets hemställan.</w:t>
        <w:br/>
        <w:br/>
        <w:t>Herr Ljunggren: Herr talman, mina herrar! Alldeles oafsedt att arbetsgifvareelementet på sistone har blifvit inpassadt i det föreliggande lagförslaget, hade jag i alla fall tänkt att vid detta tillfälle till protokollet augifva mina särskilda åsikter i min egenskap af arbetsgifvare. Dessa mina åsikter öfverensstämma till det väsentligaste med reservanternas. Därjämte har jag den åsikten att, därest staten vill förskaffa sig sina medborgares fulla aktning och förtroende till ett tillvaratagande af rättfärdighetskänslans kraf, staten måste tillse att icke lagar stiftas, som kunna få en undantagslagstiftnings prägel, lagar, som äro eller synas vara riktade mot vissa klasser af folket.</w:t>
        <w:br/>
        <w:br/>
        <w:t>Visserligen har Kungl. Maj:ts nu föreliggande lagförslag undergått en förbättring inom utskottet, i det att denna lag skulle omfatta äfven arbetsgifvares förpliktelser. Lagförslaget har därigenom fått ett visst sken af berättigande, men jag tror mig kunna säga endast ett berättigande hos dem, som äro okritiska. Jag stöder</w:t>
        <w:br/>
        <w:br/>
        <w:t>mig närmast därpå, att jag iakttagit, att de flesta talare, som yttrat sig för lagförslaget, hafva bedömt lagen såsom en klasslag och såsom en lag, riktad mot arbetarne. De hafva alldeles förglömt, att utskottets lagförslag är riktadt äfven mot arbetsgifvarne. Det är ju egendomligt, att detta tillvaratagande af andras intressen skall hafva utgått från en enskild motionär, då man i alla fall kunnat förvänta, det regeringen från början hade bort framlägga ett så omfattande förslag, hvartill utskottet nu på grund af en enskild motionärs framställning funnit sig föranlåtet.</w:t>
        <w:br/>
        <w:br/>
        <w:t>Såsom arbetsgifvare ber jag att få nämna, att jag — och säkerligen ingen rättänkande arbetsgifvare — vill undandraga mig det ansvar, som staten pålägger, men man gör sig i alla fall den förhoppningen, att dessa förpliktelser och detta ansvar, då det tager sig uttryck i lagar, skola vara fullt berättigade, fullt motiverade och vara utgångna från rätter myndighet. Vidare tänker man sig alltid, att en lagstiftning af denna lags omfång, äfven då detta tilllägg om arbetsgifvares förpliktelser tillkommit, borde hafva undergått bebandling af högsta domstolen. Det är ju naturligt, att detta icke under riksdagens lopp låtit sig göra, men man tänker sig då, att lagförslaget hellre borde af utskottet hatva afstyrkts.</w:t>
        <w:br/>
        <w:br/>
        <w:t>Herr talman! I anseende därtill att jag för min del anser, att lagförslaget bär en alltför ensidig prägel, trots att arbetsgifvarne blifvit indragna i förslaget till lagändring rörande 19 kap. strafflagen, och då detta lagförslag allt från början visat anledning till åstadkommande af förbittring 1 det stora samhället, då vidare lagförslaget icke står i sammanhang med en lag om 'arbetsaftal, och då vidare skyldigheter gifvas, men inga nya rättigheter åt de arbetare hos allmänna verk, järnvägar m. m., som skulle komma i ett större ansvar än hittills, och då jag slutligen anser, att lagen i dess tillämpning gifver alltför mycket anledning till subjektiv uppfattning hos domstolarne och möjligen en viss godtycklighet, anhåller jag att få yrka afslag å det föreliggande 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