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Diskussion 75</w:t>
      </w:r>
    </w:p>
    <w:p>
      <w:r>
        <w:rPr>
          <w:b/>
        </w:rPr>
        <w:t xml:space="preserve">Datum: </w:t>
      </w:r>
      <w:r>
        <w:t>1907-03-12</w:t>
      </w:r>
    </w:p>
    <w:p>
      <w:r>
        <w:rPr>
          <w:b/>
        </w:rPr>
        <w:t xml:space="preserve">Kammare: </w:t>
      </w:r>
      <w:r>
        <w:t>Första kammaren</w:t>
      </w:r>
    </w:p>
    <w:p>
      <w:r>
        <w:rPr>
          <w:b/>
        </w:rPr>
        <w:t xml:space="preserve">Antal yttranden: </w:t>
      </w:r>
      <w:r>
        <w:t>3</w:t>
      </w:r>
    </w:p>
    <w:p>
      <w:r>
        <w:rPr>
          <w:b/>
        </w:rPr>
        <w:t xml:space="preserve">Källa: </w:t>
      </w:r>
      <w:r>
        <w:t>Tal om Kvinnor: Annotated Corpus, byggd på The Swedish Parliament Corpus (Yrjänäinen m.fl. 2024).</w:t>
      </w:r>
    </w:p>
    <w:p>
      <w:r>
        <w:rPr>
          <w:b/>
        </w:rPr>
        <w:t xml:space="preserve">Projekt: </w:t>
      </w:r>
      <w:hyperlink r:id="rId9">
        <w:r>
          <w:rPr>
            <w:rStyle w:val="Hyperlink"/>
          </w:rPr>
          <w:t xml:space="preserve">https://github.com/DigitalHistory-Lund/ToK-Preparer</w:t>
        </w:r>
      </w:hyperlink>
    </w:p>
    <w:p>
      <w:r>
        <w:rPr>
          <w:b/>
        </w:rPr>
        <w:t xml:space="preserve">DOI: </w:t>
      </w:r>
      <w:hyperlink r:id="rId10">
        <w:r>
          <w:rPr>
            <w:rStyle w:val="Hyperlink"/>
          </w:rPr>
          <w:t xml:space="preserve">https://doi.org/10.5281/zenodo.18211787</w:t>
        </w:r>
      </w:hyperlink>
    </w:p>
    <w:p>
      <w:r>
        <w:rPr>
          <w:b/>
        </w:rPr>
        <w:t xml:space="preserve">Version: </w:t>
      </w:r>
      <w:r>
        <w:t>2026.10.14</w:t>
      </w:r>
    </w:p>
    <w:p>
      <w:r>
        <w:rPr>
          <w:i/>
        </w:rPr>
        <w:t>Markerade ord: ¹ kvinna-ord, ² släktskaps- och tilltalsord, ³ yrkestitlar.</w:t>
      </w:r>
    </w:p>
    <w:p>
      <w:pPr>
        <w:pStyle w:val="Heading2"/>
      </w:pPr>
      <w:r>
        <w:t>1. Adolf von Möller (Första kammarens protektionistiska parti, man)</w:t>
      </w:r>
    </w:p>
    <w:p>
      <w:r>
        <w:rPr>
          <w:b w:val="0"/>
        </w:rPr>
        <w:t>Utskottet har funnit lämpligt att afstyrka min motion och framhåller i motiveringen, att utskottet anser, att Riksdagen, som »upprepade gånger angifvit sin ståndpunkt i detta afseende, icke har anledning att nu göra något ytterligare uttalande i frågan, på hvilken Kungl. Maj:t fortfarande torde hafva sin upp- -märksamhet riktad. Om, såsom antagas må, ny proposition i ämnet blifver framlagd för nästkommande års Riksdag», kunde frågan gå igenom på detta sätt.</w:t>
        <w:br/>
        <w:br/>
        <w:t>Jag förstår, att man ansett obehöfligt, att jag väckt motionen; det kunde ju väl vara. Om det verkligen är så, som lagutskottet tyckes vilja antyda, då utskottet gifver sig sken af att ställa sig på samma ståndpunkt, som Riksdagen två gånger och Andra Kammaren dessförinnan 1889 intagit, ja, då vore ju allt godt och väl. Men när nu motionen är väckt, så förefaller det mig litet egendomligt, ifall man afslår densamma och säger nej, om man verkligen menar ja. Detta är åtminstone något, som i allmänhet strider mot vanligt språkbruk.</w:t>
        <w:br/>
        <w:br/>
        <w:t>Det är visserligen godt och väl, att, som utskottet säger, Kungl. Maj:t har sin uppmärksamhet riktad på saken, men jag tillåter mig fråga: huru skall Kungl. Maj:t få veta hvad Riksdagen anser, om, när. en motion föreligger i öfverensstämmelse med Riksdagens förut uttalade önskan, denna motion af Riksdagen afslås i stället för att .bifallas? Nog ser det väl då ut — för andra människor åtminstone — som om Riksdagen icke vore vidare angelägen om att frågan tages upp igen. För resten skulle jag vilja fråga det ärade utskottet: huru vet utskottet, hvad Kungl. Maj:t kommer att göra 1908, huru vet utskottet, om Kungl. Maj:t då har sin uppmärksamhet riktad på frågan eller icke? Jag skulle vilja svara: det vet icke ens Kungl. Maj:t själf, långt mindre utskottet. Huru skall Kungl. Maj:t 1907 veta, hvem som är Kungl. Maj:t 1908? Det förefaller mig sålunda — möjligt är ju, att jag gör utskottet orätt — som om man skulle vilja på detta sätt komma ifrån att ingå i någon realitetsbehandling af frågan.</w:t>
        <w:br/>
        <w:br/>
        <w:t>Då kyrkomötet afslagit den af Riksdagen bifallna kungl. pro- Positionen, har ju frågan förfallit. År det icke så, att om i Riksdagen den ena kammaren afslår och den andra bifaller en fråga, så är frågan förfallen? Har då Kungl. Maj:t någon skyldighet att vidare beakta denna sak, när de, som hafva att i frågan besluta, stanna i olika beslut? Ingalunda. För Kungl. Maj:t är det gifvetvis, om icke någon påtryckning kommer, både angenämare och bekvämare att låta en sådan sak vara. Ty det är icke lätt för Kungl. Maj:t att räkna ut det aritmetiska mediet mellan ja och nej, och om</w:t>
        <w:br/>
        <w:br/>
        <w:t>Kungl. Maj:t vill undslippa en sådan räkneoperation, förefaller mig detta rätt naturligt.</w:t>
        <w:br/>
        <w:br/>
        <w:t>Helt annorlunda ställer sig frågan för Riksdagen. Jag finner det ganska sannolikt, att, om Riksdagen idag icke uttalar sin önskan, Kungl. Maj:t icke skall göra annat än att framlägga det kompromissförslag, som utgått från kyrkomötet. Som herrarne veta, så förklarade sig kyrkomötet vid sitt afslag i alla fall beredt att göra några eftergifter. Men hufvudsaken är dock denna: skola alla undantagsformer, all skillnad i jordfästningsformen bortfalla eller icke. Sedan gör det alldeles detsamma, efter mitt sätt att se saken, om det är en eller annan bestämmelse, som man för syns skull jämkar på. Låtom oss icke förbise, hvad den talare sade, som förde majoritetens i kyrkomötet talan — hurusom kyrkan erkänner, att våra fäder ha varit hårda och grymma, den vill icke beller förneka, »att icke också vi kunna vara grymma i denna dag, men vi vilja åtminstone vara mindre grymma». Det är just saken, någon grymhet bör alltid få bibehållas. Kyrkomötet kunde icke besluta sig för att stryka alltsammans, utan ville hålla på sin gamla rätt och makt, denna mindre grymhet. Det är ett märkligt tidens tecken, att man får höra sådana uttalanden från kyrkomötet, just där man väl mera borde tänka på hvad kärleksbudet, medlidandet och barmhärtigheten fordra af oss. människor — det budet, som är kristendomens första och högsta.</w:t>
        <w:br/>
        <w:br/>
        <w:t>Det säges måhända, att detta är en fråga af underordnad betydenhet, hvarför då göra så mycket affär af densamma? Ja, mina herrar, hvad är obetydligt eller icke, hvad är stort eller litet här i världen? Det finnes personer, som anse, att anslagsfrågorna, rösträtten o. d. äro Riksdagens viktigaste angelägenheter. Jag skall icke tvista därom, men jag vågar åtminstone påstå, att äfven humanitetsfrågorna i Riksdagen hafva sin betydelse, allrahelst som vi äro representanter för ett kristet folk. Låt mig i detta sammanhang få erinra om en lärdom, hvilken man synes i kyrkomötet hafva förbisett — jag menar liknelsen om den mannen, som föll i röfvarehänder. Hvem var det, som då hjärtlöst gick förbi honom? Det var prästen, det var leviten. Hvem hjälpte honom? Det var samariten.</w:t>
        <w:br/>
        <w:br/>
        <w:t xml:space="preserve">Här har nu Riksdagen tagit initiativet, men kyrkomötet har afslagit vår begäran. Det är tyvärr ett sorgligt faktum. — Vi hafva visserligen närmast afsett att bespara de stackars efterlefvande en onödig förödmjukelse i deras redan förut nog bittra sorg, men det saknar nog icke all betydelse för den svenska kyrkans anseende, om </w:t>
      </w:r>
      <w:r>
        <w:rPr>
          <w:b/>
        </w:rPr>
        <w:t>hennes²</w:t>
      </w:r>
      <w:r>
        <w:rPr>
          <w:b w:val="0"/>
        </w:rPr>
        <w:t xml:space="preserve"> närmaste målsmän ställa sig kallt afvisande inför en fråga som denna. Jag kan icke här lämna oanmärkt den indelning, som af en talare vid kyrkomötet gjordes, hvilken sade: »Vi skola icke här tala så mycket om enfaldiga och upplysta, utan hellre om religiöst intresserade å ena sidan och religiöst ointresserade å den andra.&gt; Jag vet icke, om den talaren därmed afsåg, att Riksdagen skulle räknas bland de religiöst ointresserade därför att den ställt sig på en mera human ståndpunkt än kyrkomötet. Jag ber att få bestrida ett dylikt påstående, och jag vågar äfven, beträffande mig själf, säga, att äfven jag gör anspråk på att få tillräknas något</w:t>
        <w:br/>
        <w:br/>
        <w:t>religiöst intresse. Just därför anser jag det önskvärdt, att icke den Om ändrade svenska statskyrkan alltför mycket stramar på bandet mellan stat "estänmmelser</w:t>
        <w:br/>
        <w:br/>
        <w:t>och kyrka att icke detta en vacker dag brister. — själfepulin Då jag nu har ordet, kan jag icke undgå att bemöta några ord, gars jordfäst-</w:t>
        <w:br/>
        <w:br/>
        <w:t>som fälldes af den talare, som yttrade sig å majoritetens inom kyrko- = ning.</w:t>
        <w:br/>
        <w:br/>
        <w:t>mötet vägnar, då de synas mig icke här få passera utan gensaga. (Forts.)</w:t>
        <w:br/>
        <w:br/>
        <w:t>Talaren omnämnde, huru han hade hört två högt ärade statsråd försvara Riksdagens beslut. »På denna sida står också, jag skulle kunna säga, nästan hela det moderna” Sverige, det, som representerar eller vill representera de mera humanitära sträfvandena. Men låtom oss ej heller glömma, att på denna sida står äfven det ”lättsinniga” Sverige. Jag åsyftar härmed de många, som fatta denna sak tanklöst» etc. Ar det sålunda meningen, att Riksdagen är det &gt;moderna» Sverige, eller hvad menar han med denna indelningsgrund?</w:t>
        <w:br/>
        <w:br/>
        <w:t>Jag känner mig icke befogad att svara på den frågan.</w:t>
        <w:br/>
        <w:br/>
        <w:t>Den nyss citerade talaren fortsatte härefter: »Å den andra sidan står nu i dag hela den prästerliga afdelningen i kyrkomötet, på ett eller annat undantag när, och säkert många af våra aktade lekmän. Bakom dem står sannolikt nästan såsom en man hela Sveriges prästerskap. Det kan väl hända, att man där kan uppleta flera undantag, men undantag äro de i alla fall. Och bakom dessa stå de djupa lederna, jag skulle vilja säga det gammaldags” Sverige, där vi finna det allra djupaste allvar, paradt ibland kanske med öfverdrifven stränghet, men ej utan barmhärtighet.»</w:t>
        <w:br/>
        <w:br/>
        <w:t>En annan talare hängde sig fast vid kyrkolagutskottets uttalande, att det skulle väcka anstöt i vida kretsar inom landet, om hvarje skillnad i begrafningssätt borttoges, »därför att detta skulle — låt vara i oförstånd -— uppfattas såsom ett ursäktande af själfmordet&gt;. Sålunda — från det »gammaldags Sverige med dess öfverdrifna stränghet» och från dessa personer, som — »låt vara i oförstånd»&gt; — våga påstå dylikt, skulle den svenska kyrkan, om den uppträdde vid en själfspillings graf med mera mildhet och undseende, träffas af den beskyllningen, att den ursäktar själfmordet som sådant!</w:t>
        <w:br/>
        <w:br/>
        <w:t>Kan då icke kyrkan gifva eftertryck åt sitt ogillande på annat och bättre sätt och vid andra tillfällen? Den döde kan ju icke nås af kyrkans straffdom, men slaget träffar de arma efterlefvande, föräldrarne, makan, barnen, hvilkas sorg ju redan är tillräckligt bitter. Kan icke kyrkan med lugn tillbakavisa en så obefogad beskyllning, som att den skulle ursäkta själfmordet, när den dock endast följer den store mästarens bud att visa barmhärtighet mot de lidande? —</w:t>
        <w:br/>
        <w:br/>
        <w:t>Beträffande talet om att det skulle vålla anstöt i vida kretsar, vågar jag påstå, att de vida kretsarna äfven äro representerade i Riksdagen, 1 synnerhet i Andra Kammaren, hvilken man väl icke kan frånkänna religiöst intresse.</w:t>
        <w:br/>
        <w:br/>
        <w:t>En annan talare sade, att det i vida kretsar skulle vålla sorg, om man i tillkännagifvandet uteslöte orden, »att Herren behagat hädankalla». Jag vill icke ingå på några teologiska dissertationer i ämnet, men jag vill blott påpeka, hurusom vid tillkännagifvandet,</w:t>
        <w:br/>
        <w:br/>
        <w:t>att en person ljutit döden genom mördares hand, dessa ord fortfarande användas, äfvensom i fråga om den, som genom dryckenskap eller på annat sätt indirekt förkortat sitt lif.</w:t>
        <w:br/>
        <w:br/>
        <w:t>Kan man väl här med fog säga, att &gt;»Herren behagat hädankalla&gt; honom? —</w:t>
        <w:br/>
        <w:br/>
        <w:t>Skulle man icke kunna begära den uppoffringen af dem, som på naturligt sätt förlorat en anhörig, att de af hänsyn för själfmördarens efterlefvande medgåfve borttagandet af dessa ord. De kunna ju i sitt hjärta känna trösten af att Herren hädankallat den döda, äfven om detta icke uttalades vid tillkännagifvandet i kyrkan. Jag anser, att de borde kunna göra denna uppoffring för de andras skull.</w:t>
        <w:br/>
        <w:br/>
        <w:t>På tal om tillkännagifvandet eller den s. k. »tacksägelsen&gt;, har jag i min motion sökt visa, huru man här i sanning kan se språkets makt öfver tanken. I den äldsta kyrkohandboken förekommer icke något om dessa tillkännagifvanden, i den därnäst införda stadgas, att tacksägelse skall äga rum efter tillfrisknade och döda. Icke ett ord vidare. I den därpå följande handboken af år 1809 finnes ett »förslag till tacksägelse», med ungefär samma ordalydelse, som återfinnes i vår nuvarande kyrkohandbok af år 1894. Det är visserligen här något förkortadt, men meningen är densamma. I detta tillkännagifvande finnes intet, som kan sägas innebära någon tacksägelse, och det förvånar mig, att en talare i Första Kammaren vid 1903 års riksdag kunde påstå, att om jordfästningslagens 1 $ ej ändrades, skulle det inträffa, »att man från predikstolen i kyrkan finge tacka Gud för själfmordet». Det torde icke varit för den talaren okändt, att handboken då redan 9 år varit i bruk, och att jordfästningslagen, som bestämmer, att tillkännagifvandet skall ske med tacksägelse enligt handboken (af 1809), utkom ungefär ett halft år före handboken. Ifall denna fråga upptoges af Kungl. Maj:t, behöfver naturligtvis då äfven denna $ en omredigering. Men det förvånar mig att talaren i fråga för att söka snedvrida saken kunde vilja påstå något dylikt, att man, ifall $ ej ändrades, skulle komma att från predikstolen tacka Gud för själfmordet.</w:t>
        <w:br/>
        <w:br/>
        <w:t>Det förekommer ju icke i tillkännagifvandet ett enda ord, som kan tydas som en »tacksägelse» i den nu använda kyrkohandboken lika litet som i någon af de föregående upplagorna, som stått mig till buds. Det var en fyndig invändning, hvilken jag här på detta sätt ansett mig böra bemöta, eftersom jag då af sjukdom var hindrad att närvara 1 kammaren.</w:t>
        <w:br/>
        <w:br/>
        <w:t>Uti Första Kammaren sade samme talare: »Hvem säger, att kyrkan uttalar någon dom?» Jo, herr statsrådet och chefen för justitiedepartementet! Emellertid framhöll herr Rudin, att kyrkan måste, han upprepade det i det oändliga, på något sätt häfda sin af ålder tillerkända rätt att på något sätt uttrycka sin sorg, sitt ogillande, sitt omdöme. Han sade i början af sitt anförande, att det icke var fråga om den slutliga, den afgörande domen. Hvad skillnad är det då, om man säger, att kyrkan uttalar en dom eller på detta sätt uttalar sitt omdöme? Jag kan åtminstone ej finna</w:t>
        <w:br/>
        <w:br/>
        <w:t>någon dylik. Jag kan icke finna skillnaden mellan begreppen: dom och ogillande omdöme.</w:t>
        <w:br/>
        <w:br/>
        <w:t xml:space="preserve">Det är märkliga uttalanden, som förekomma i slutet af herr wdins anförande, med hvilket kyrkomötets majoritet och tio biskopar instämde. Han sade, att om kyrkans öfverhufvud skall vara med vid detta tillfälle, kan </w:t>
      </w:r>
      <w:r>
        <w:rPr>
          <w:b/>
        </w:rPr>
        <w:t>hon²</w:t>
      </w:r>
      <w:r>
        <w:rPr>
          <w:b w:val="0"/>
        </w:rPr>
        <w:t xml:space="preserve"> icke uppgifva den rätt </w:t>
      </w:r>
      <w:r>
        <w:rPr>
          <w:b/>
        </w:rPr>
        <w:t>hon²</w:t>
      </w:r>
      <w:r>
        <w:rPr>
          <w:b w:val="0"/>
        </w:rPr>
        <w:t xml:space="preserve"> hittills haft att gifva uttryck åt sitt ogillande, men »den dag kan måhända komma, då det sättes i fråga, huruvida kyrkan behöfver vara med vid grafven». Hvad menade han, när han sade detta, och de svenska biskoparne, som instämde däruti? Var det meningen, att om hvarje skillnad borttages till förmån för själfmördaren, skulle den svenska kyrkan bidraga till att slita det sista tvångsbandet på så sätt, att Jordfästningen i sådant fall icke skulle förrättas af präst i svenska kyrkan? Är det detta kyrkan och kyrkomötet önska? Jag vet icke, huruvida man kan antaga något sådant, men så mycket torde dock vara säkert, att om kyrkomötet håller fast vid att på detta sätt och i en fråga som denna begagna sig af ett så tveeggadt vapen som sin vetorätt gentemot Riksdagen, är den dag kanske icke så långt aflägsen, då ropen på borttagandet af kyrkans vetorätt ljuda allt starkare och starkare. Mina herrar, erinren eder de omständigheter, hvilka föranledde den borgerliga begrafningens införande i Danmark. Det skedde, bland annat, på grund af den häftiga ovilja, som uppväcktes med anledning af en prästs på Jutlands västkust uttalade hårda fördömande ord vid jordfästningen af några fiskare, som förolyckats, när de på söndagen sökte rädda sina garn undan stormen.</w:t>
        <w:br/>
        <w:br/>
        <w:t>Afven i Köpenhamn uppträdde några präster på ett synnerligen stötande sätt vid några jordfästningar, hvarefter en förening bildades, som gick in med en anhållan om införande af rätt till borgerlig begrafning för den, som önskade sådan. Detta är nu lag i Danmark. Ar det önskvärdt från kyrkans sida, att den borgerliga begrafningen äfven hos oss införes? Vi ha frihet ifrån dop-, konfirmationsoch nattvardstvång, utvidgad rätt till borgerlig vigsel är begärd. Skall man nu locka fram ropen på frihet från kyrkans medverkan äfven i fråga om jordfästning? Jag vågar icke svara därpå.</w:t>
        <w:br/>
        <w:br/>
        <w:t>Jordfästningslagen innehåller icke några straffbestämmelser för den, som — förutsatt, att ordningsföreskrifterna blifvit iakttagna, dödsorsaken anmälts etc. — begrafver en död.</w:t>
        <w:br/>
        <w:br/>
        <w:t>Prejudikat härå finnes, och tid efter annan innehålla tidningarne notiser om huru man på detta sätt åsidosatt lagbudet härutinnan. Ar det önskvärdt att framkalla dylika lagbrott? Jag tror det icke.</w:t>
        <w:br/>
        <w:br/>
        <w:t>Som herrarna nu hört, finner jag, att frågan, långt ifrån att vara af liten betydelse, är både allvarlig och viktig. Det gör mig ledsen, att lagutskottet — ty det kan man läsa mellan raderna — vill på detta sätt skjuta undan frågan för att om möjligt begrafva den i tysthet. Vi kunna, om Riksdagen icke bifaller motionen, utsätta oss för, antingen att icke någon proposition göres till nästa kyrkomöte, eller ock att Kungl. Maj:t försöker att gå den af kyrko-</w:t>
        <w:br/>
        <w:br/>
        <w:t>mötet föreslagna kompromissvägen. Vi skulle då stå inför det beklagliga faktum, att Riksdagen nödgas kapitulera för kyrkomötet, men därhän hoppas jag vi aldrig måtte komma.</w:t>
        <w:br/>
        <w:br/>
        <w:t>På grund af hvad jag nu anfört vågar jag anhålla om afslag å utskottets hemställan och bifall till motionen.</w:t>
      </w:r>
    </w:p>
    <w:p>
      <w:pPr>
        <w:pStyle w:val="Heading2"/>
      </w:pPr>
      <w:r>
        <w:t>2. Cornelius Sjöcrona (Första kammarens protektionistiska parti, man)</w:t>
      </w:r>
    </w:p>
    <w:p>
      <w:r>
        <w:rPr>
          <w:b w:val="0"/>
        </w:rPr>
        <w:t>Utskottet har i det nu föredragna utlåtandet ställt sig på en rent formell och neutral ståndpunkt, då utskottet yttrar, att Riksdagen vid upprepade tillfällen angifvit sin ståndpunkt i detta afseende och därför icke har anledning att nu göra något ytterligare uttalande i frågan, på hvilken Kungl. Maj:t fortfarande torde hafva sin uppmärksamhet riktad.</w:t>
        <w:br/>
        <w:br/>
        <w:t>Man skulle vid sådant förhållande kunnat vänta, att utskottets uttalande icke borde hafva väckt någon synnerligt sorglig känsla hos motionären, men han har nu mycket vidlyftigt och med mycken värme ordat i denna sak, alldeles som om här varit fråga om att antaga eller förkasta det förslag till lagändring i den riktning motionären åsyftat. Men därom är ju icke alls fråga, och utskottet har för sin del icke sagt ett enda ord, som går ut på, att utskottet numera ogillar det uttalande, som Riksdagen två gånger förut gjort. Icke heller har utskottet med ett enda ord antydt, att utskottet skulle anse Riksdagen benägen för att ingå på något annat förslag, som motionären kallar ett kompromissförslag.</w:t>
        <w:br/>
        <w:br/>
        <w:t>Men tänker man närmare efter, förstår man nog, att i motionärens förslag och hans yttranden i dag ligger en djupare innebörd än blott detta att få till stånd en skritvelse med upprepande af Riksdagens förut fattade beslut. Jag ber att få litet dröja vid detta.</w:t>
        <w:br/>
        <w:br/>
        <w:t>Som kammarens ledamöter alla veta — åtminstone efter de förhandlingar, som nu varit -— antog Riksdagen år 1903 på förslag af Kungl. Maj:t en lag, innefattande ändring i 6 $ af lagen angående jordfästning, hvarigenom all skillnad mellan ordningen för vanlig jordfästning och jordfästning af själfspillingar skulle bortfalla. Sedan Riksdagen antagit detta förslag, aflät Kungl. Maj:t proposition till nästsammanträdande kyrkomöte med hemställan, att kyrkomötet måtte antaga denna lagändring och på samma gång de förslag till ändringar i kyrkohandboken, som betingades af denna lagändring. Kyrkomötet ansåg sig icke kunna bifalla denna proposition, utan framställde ett annat förslag.</w:t>
        <w:br/>
        <w:br/>
        <w:t>Hvad är nu syftemålet med motionen? Jo, uppenbarligen, att Riksdagen skall uttala en förkastelsedom öfver det af kyrkomötet framställda förslaget för att därigenom förekomma, att det af Kungl. Maj:t tages i öfvervägande och ännu mer att det af Kungl. Maj:t göres till föremål. för proposition till nästa års Riksdag och det kyrkomöte, som kommer att hållas nästa år. Nu tillåter jag mig hemställa till kammarens ledamöter, om det verkligen kan vara lämpligt och riktigt, att Riksdagen skall här besluta ett uttalande om ett förslag, hvars innehåll mycket få af Riksdagens ledamöter känna? Jag tror nämligen, att de ledamöter af denna kammare,</w:t>
        <w:br/>
        <w:br/>
        <w:t>som känna kyrkomötets förslag, äro mycket få till antalet, och för- Om ändrade hållandet är nog alldeles detsamma i Andra Kammaren. bestämmnvelger</w:t>
        <w:br/>
        <w:br/>
        <w:t>Jag skall därför tillåta mig att gifva herrarna del af detta själfspillinförslag genom att läsa upp kyrkomötets skrifvelser i nödiga delar. garsjordfäst.</w:t>
        <w:br/>
        <w:br/>
        <w:t>Det är icke så långt, att jag behöfver alltför mycket sätta kamning. marens tålamod på prof. (Forts.)</w:t>
        <w:br/>
        <w:br/>
        <w:t>»I 1 $ af lagen angående jordfästning den 25 maj 1894 stadgas: När dödsfall timar inom svenska kyrkan, skall detsamma vid den högmässogudstjänst, som näst efter skedd anmälan om dödsfallet inträffar i den församling, där den aflidne var kyrkoskrifven, genom kyrkoherdens försorg tillkännagifvas med tacksägelse i den ordning kyrkohandboken föreskrifver. Sådant tillkännagifvande må dock ej ske i de fall, som här nedan i 5 och 6 $$ omförmälas”. Då å ena sidan enligt kyrkomötets mening tacksägelse icke under någon form lär kunna ifrågakomma vid ett dödsfall under så sorgliga förhållanden, som då en person själf tagit sig af daga, men å andra sidan borttagandet af all skillnad mellan ordningen för tillkännagifvandet af deras dödsfall, som förgjort sig själfva, och för deras, som icke ändat sitt If under dylika omständigheter, ej med fog synes böra fordras, och då än mer, enligt kyrkomötets bestämda förvissning, borttagandet af all skillnad i ordningen för jordfästningen i nu omförmälda båda fall inom mycket vida kretsar af landets befolkning komme att vålla anstöt, därför att det skulle tolkas såsom ett ursäktande af själfmord äfven i det fall, att detsamma icke begåtts i sinnesförvirring, har kyrkomötet ansett sig icke kunna godkänna det föreliggande lagförslaget.»</w:t>
        <w:br/>
        <w:br/>
        <w:t>Här stannar motionären i sitt återgifvande af kyrkomötets skrifvelse, och jag skall också be att få stanna något litet där. Motionären säger på sidan 4 i utskottets betänkande: »Då Andra Kammaren redan 1889 uttalat sig för en lagändring i motionens syfte samt båda kamrarne vid två riksdagar uttalat sin anslutning till förslaget, torde kyrkolagsutskottets skäl för afslag, »att ändringen skulle väcka anstöt inom mycket vida kretsar», ej väga särdeles tungt, då ingen väl torde kunna frånkänna den svenska Riksdagen både kompetens och allvarlig önskan att tillvarataga landets sedligt religiösa intressen, hvarpå kyrkomötet väl icke kan anses innehafva monopol.»</w:t>
        <w:br/>
        <w:br/>
        <w:t>Nej, mina herrar, det är ju alldeles riktigt. Det är väl ingen, som gör anspråk på monopol i detta afseende för kyrkomötet och ännu mindre någon, som vill bestrida, att Riksdagen icke har kompetens och önskan att tillvarataga landets sedligt religiösa intressen. Man må emellertid hysa huru stor ringaktning för kyrkomötet som helst, är det dock en i grundlag stadgad representation för svenska folket, och då kan man väl icke alldeles lämna åsido de önskningar och åsikter, som uttalats af kyrkomötet. Kyrkomötets ledamöter äro utsedda af de svenska kyrkoförsamlingarna med särskildt uppdrag att öfverlägga och besluta om kyrkliga angelägenheter, men detta lär väl icke vara det hufvudsakliga syftet, som tagits i be-</w:t>
        <w:br/>
        <w:br/>
        <w:t>traktande vid val af riksdagsman. Härefter fortsätter kyrkomötet: »Kyrkomötet vill dock ej "förneka, att den nu gällande ordningen för jordfästning i stillhet kan gifva anledning till befogade anmärkningar. Kyrkomötet föreställer sig, att i denna omständighet legat en grund till det af Riksdagen fattade beslutet, och håller före, att med en förändring, hvarigenom åt jordfästningen gåfves en mindre knapphändig, men mera mild form, skulle i hufvudsak vinnas detsamma, som Riksdagen med sitt beslut åsyftat. Särskildt anser kyrkomötet så skola blifva förhållandet, om klockringning finge förekomma äfven vid jordfästning i stillhet. Härtill erfordras dock en förändring 'af 7 $ i jordfästningslagen.</w:t>
        <w:br/>
        <w:br/>
        <w:t>Det af Eders Kungl. Maj:t framlagda förslaget till ändringar i kyrkohandboken har kyrkomötet funnit sig icke kunna antaga. Det synes dock kyrkomötet önskligt, att för jordfästning i stillhet bestämmes ett till innehållet något mindre knapphändigt liturgiskt formulär än det i kyrkohandboken föreskrifna.</w:t>
        <w:br/>
        <w:br/>
        <w:t>Kyrkomötet får alltså, med anmälan att de i ofvannämnda nådiga skrifvelser omförmälda lagförslag samt förslag till ändringar i gällande handbok för svenska kyrkan icke vunnit kyrkomötets godkännande, i underdånighet anhålla,</w:t>
        <w:br/>
        <w:br/>
        <w:t>Därpå skulle läsas psalmer ur svenska psalmboken. Jag skall icke trötta herrarne med att uppläsa dessa. Ritualen skulle afslutas med läsandet af Fader Vår och Välsignelsen.</w:t>
        <w:br/>
        <w:br/>
        <w:t>Nu observera herrarne väl, att kyrkomötet uttryckligen anhållit, att Kung!. Maj:t måtte vidtaga åtgärder för att åstadkomma den af kyrkomötet föreslagna lagförändringen samt förändringen i handboken. Som detta emellertid icke kan ifrågakomma förrän nästa år, då kyrkomötet skall sammanträda, må man väl kunna förutsätta, att Kungl. Maj:t ämnar taga detta kyrkomötets förslag i öfver-</w:t>
        <w:br/>
        <w:br/>
        <w:t>vägande och till Riksdagen göra någon framställning i ämnet. Skulle Om ändrade Kungl. Maj:t då finna kyrkomötets förslag, om hvilket den dåvarande Vestämmelser</w:t>
        <w:br/>
        <w:br/>
        <w:t>högt aktade ecklesiastikministern von Friesen förklarade, att han ansåg det vara så vackert och så tilltalande, att han för sin del g gärna skulle vilja begrafvas efter detta liturgiska formulär — ehuru han naturligtvis måste hålla på det förslag, han själf varit med om att tillstyrka Kungl. Maj:t att framlägga för kyrkomötet — böra oförändradt eller med någon modifikation antagas, har ju Riksdagen fullkomligt i sin hand att afslå förslaget. Jag tror icke heller, att jag behöfver misstaga mig uti, att i ett sådant fall motionären skulle lägga fram förslag om antagande af den lagändring, som Riksdagen för sin del beslutade år 1903. Det finnes således icke det ringaste hinder för att få frågan fram till nästa riksdag, då den rätteligen bör komma fram och tagas i öfvervägande. Skulle åter Kungl. Maj:t förnya sin proposition af 1903, då är ju allt väl beställdt enligt motionärens önskan.</w:t>
        <w:br/>
        <w:br/>
        <w:t>Men nu upprepar jag detta: icke kan väl Första Kammaren vara med om att ogilla ett förslag, som Första Kammaren allt hittills icke tänkt på eller har någon kännedom om?</w:t>
        <w:br/>
        <w:br/>
        <w:t>På grund af hvad jag nu anfört tillåter jag mig vördsamt yrka bifall till utskottets förslag.</w:t>
      </w:r>
    </w:p>
    <w:p>
      <w:pPr>
        <w:pStyle w:val="Heading2"/>
      </w:pPr>
      <w:r>
        <w:t>3. Adolf von Möller (Första kammarens protektionistiska parti, man)</w:t>
      </w:r>
    </w:p>
    <w:p>
      <w:r>
        <w:rPr>
          <w:b w:val="0"/>
        </w:rPr>
        <w:t>Ja, mina herrar, jag blef verkligen fortfarande icke klok på hvad herr Sjöcrona själf tänker i denna sak — jag vet ju, att han varit med i kyrkomötet, så att han har reda på de önskningar, som där gjort sig gälllande.</w:t>
        <w:br/>
        <w:br/>
        <w:t>Jag har aldrig någonsin haft den uppfattningen, att kammaren nu skulle ingå i pröfning af kyrkomötets förslag, och det har icke heller varit tal härom. Saken rör sig icke om, huruvida vi skola antaga den af kyrkomötet föreslagna liturgien eller icke, utan frågan gäller, om vi skola taga bort hvarje skillnad mellan begrafningsritualen i de olika fallen eller om vi skola nöja oss med de jämkningar, som kyrkomötet föreslagit, och således gå in på dess kompromissförslag. Ty äfven om klockringning medgifves vid begrafning af den, som själf tagit sitt lif, kvarstå dock fortfarande två begrafningsformer.</w:t>
        <w:br/>
        <w:br/>
        <w:t xml:space="preserve">Med anledning af herr Sjöcronas referat af herr von Friesens. yttrande ber jag att få nämna, att herr Sjöcrona icke uppläste detta yttrande i sin helhet. Herr von Friesen yttrade nämligen: »Men däremot kan jag, som sagdt, icke anse, att Riksdagens önskan på något sätt blifvit tillfredsställd med det förslag, som i stället blifvit framlagdt, ty det är fortfarande fråga om en dubbel form för jordfästningen liksom förut. Det är en ny ritus. Jag skall vara den förste att erkänna, att denna nya ritual är vacker. Det är en ritual, efter hvilken hvarje människa, som känner sin syndfullhet och ovärdighet, gärna skulle önska att blifva jordfästad, när </w:t>
      </w:r>
      <w:r>
        <w:rPr>
          <w:b/>
        </w:rPr>
        <w:t>hon²</w:t>
      </w:r>
      <w:r>
        <w:rPr>
          <w:b w:val="0"/>
        </w:rPr>
        <w:t xml:space="preserve"> under sitt lif tänker därpå. - Men denna ritual är här gjord till en straffritual, just därför att den är ställd vid sidan af den andra såsom den bättre och normalare ritualen och den är stämplad med själfmordets stämpel.&gt; Hvad han har sagt — och däri instämmer</w:t>
        <w:br/>
        <w:br/>
        <w:t>jag till fullo — är således, att den ritual, som kyrkomötet vill hafva, är vida bättre och vackrare, vida mer tilltalande än den nuvarande. Men jag ber dock herrarne ihågkomma, att det i allt fall skulle blifva en straffritual, just därför att kyrkomötet icke har velat gifva med sig, icke borttaga all skillnad mellan ritualen i de båda fallen, utan som prutmån taga denna klockringning. Kyrkomötets beslut innefattar ett försök att förmå Riksdagen att hålla till godo med denna ändring i ritualen, så att man sedermera skulle kunna säga, att allt vore väl beställdt, då vi fått en ritual, som vore bättre än</w:t>
        <w:br/>
        <w:br/>
        <w:t>den nuvarande. Själfspillingar skulle få klockringning och kyrko-</w:t>
        <w:br/>
        <w:br/>
        <w:t>mötet skulle afgå med seger. Om Riksdagen bifaller lagutskottets förslag, befarar jag, att Kungl. Maj:t skall låta locka sig till att upptaga kyrkomötets kompromissförslag och således låta oss hafva kvar två begrafningssätt. Vill Kungl. Maj:t taga upp denna ritual, som kyrkomötet föreslagit, och på samma gång göra den ändring, som Riksdagen begärt, nämligen att taga bort all skillnad i de båda fallen, då först hafva vi skäl att vara nöjda. Jag erinrar mig från grafscenen i Hamlet, huru Shakspeare redan på 1500-talet protesterade mot det barbariska i denna skillnad mellan begrafningssätt i olika fall. Jag vill icke citera Laertes replik till prästen, men det är dock märkligt, att man redan på 1500-talet protesterade i detta afseende och att vi år 1907 stå på samma — jag ber om ursäkt — barbariska ståndpunkt som då. Just de, som borde tala kärlek och mildhet till folket, skola vara med om att lägga sten på börda. De glömma det ord vår mästare sade: »Dömen icke, så skolen I icke varda dömda»&gt;.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github.com/DigitalHistory-Lund/ToK-Preparer" TargetMode="External"/><Relationship Id="rId10" Type="http://schemas.openxmlformats.org/officeDocument/2006/relationships/hyperlink" Target="https://doi.org/10.5281/zenodo.18211787"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Diskussion 75</dc:title>
  <dc:subject>2026.10.14 (https://doi.org/10.5281/zenodo.18211787)</dc:subject>
  <dc:creator>Tal om Kvinnor</dc:creator>
  <cp:keywords/>
  <dc:description>generated by python-docx</dc:description>
  <cp:lastModifiedBy/>
  <cp:revision>1</cp:revision>
  <dcterms:created xsi:type="dcterms:W3CDTF">2000-01-01T00:00:00Z</dcterms:created>
  <dcterms:modified xsi:type="dcterms:W3CDTF">2000-01-01T00:00:00Z</dcterms:modified>
  <cp:category/>
  <cp:lastPrinted>2000-01-01T00:00:00Z</cp:lastPrinted>
  <cp:version>2026.10.14</cp:version>
</cp:coreProperties>
</file>