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w:t>
      </w:r>
    </w:p>
    <w:p>
      <w:r>
        <w:rPr>
          <w:b/>
        </w:rPr>
        <w:t xml:space="preserve">Datum: </w:t>
      </w:r>
      <w:r>
        <w:t>1908-02-20</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Motioner af liknande beskaffenhet med den, som nu är föremål för behandling, hafva i riksdagen framkommit med ungefär samma regelbundenhet som skottåren. Jag har förut vid mer än ett tillfälle uttalat den meningen, att den här föreslagna förändringen icke är af något synnerligt behof påkallad. Det har varit mig beskärdt eller ålagdt att aktgifva på denna fråga, sådan den kunnat framkomma under tiderna mellan riksdagarna, och så godt som aldrig någonsin under dessa mellantider har jag hört talas om det behof, motionen omnämner. Har man emellertid hunnit till en viss punkt af riksdagsperioden, återkommer motionen.</w:t>
        <w:br/>
        <w:br/>
        <w:t>Om motionen emellertid icke varit af något synnerligt behof påkallad förr, så är den det ännu mindre nu, såvida man tager hänsikt till dem, som i allmänhet framburit önskvärdheten af den nu föreslagna förändringen. Det har under gångna tider egentligen varit, hvad jag kan kalla, de frireligiösa, som ha önskat denna förändring, och då har den varit mera motiverad än nu, därför att motsatsen mellan dem och vår svenska kyrkas folk förr varit mycket större, än den nu är. Motsatsen har jämnats ut, och samlifvet mellan de olika grupperna har blifvit allt fredligare och fredligare. Jag tror därför, att det nu icke hos de frireligiösa råder en så liflig önskan i detta fall, som det förr gjorde.</w:t>
        <w:br/>
        <w:br/>
        <w:t>Men nu kan man säga, att det på sista tiden kommit in en ny part i denna fråga, och detta kan gifva anledning till att betrakta den från en ny och kanske förändrad synpunkt. Ha förut dessa framställningar kommit fram från de frireligiösa och varit ägnade att inverka på dessas ställning till vår svenska kyrka, så skulle det nu snarast vara fråga om en annan grupp af svenska medborgare, nämligen alla dem, som äro alldeles utan religiösa intressen, eller rättare äro besjälade af bestämdt antireligiösa tänkesätt. Jag tror icke, att man kan till sin fulla betydelse uppskatta, hvad som ligger i den uti vårt land bedrifna antireligiösa agitationen. Ofta talas det om den antimilitaristiska agitationen, och hvad som säges om den ifrån vår sida är helt visst riktigt, men säkert är, att den antireligiösa agitationen är åtminstone lika farlig. Jag är viss om, att den är farligare, där-</w:t>
        <w:br/>
        <w:br/>
        <w:t>för att den griper in på det allra innersta området, i själfva hjärtpunkten af ett folks lif.</w:t>
        <w:br/>
        <w:br/>
        <w:t>Denna antireligiösa riktning, denna rent kristendomsfientliga sträfvan, den är icke några individers sak, utan den är ett stort organiseradt samfunds sak.</w:t>
        <w:br/>
        <w:br/>
        <w:t>I det tryckta programmet för den socialistiska ungdomsföreningen lyder första momentet så — herrarna få ursäkta att jag läser upp det:</w:t>
        <w:br/>
        <w:br/>
        <w:t>»Då den kristna religionen lika väl som de öfriga representerar en föråldrad världsåskådning, som står i strid såväl med vetenskapens sanningar som mänsklighetens praktiska intressen,</w:t>
        <w:br/>
        <w:br/>
        <w:t>då religionen städse varit en oförsonlig fiende till allt framåtskridande och följaktligen i våra dagar är en af de häftigaste motståndarne till arbetsklassen och dennas andliga och materiella frigörelse,</w:t>
        <w:br/>
        <w:br/>
        <w:t>då religionens vidskepliga läror hafva till syftemål att genom ett systematiskt uppammande af auktoritetstron förslöa tanken och kväfva alla upproriska känslor mot den bestående samhällsordningen med dess förtryck och utsugning af de arbetande klasserna, och då religionen sålunda är en af de starkaste hörnpelarna för det nuvarande på motsatsen mellan herre och underordnad, kapitalist och lönearbetare baserade sambhället,</w:t>
        <w:br/>
        <w:br/>
        <w:t>uppmanar kongressen förbundets medlemmar att af alla krafter bekämpa den religiösa vidskepelsen i alla dess former, och uttalar kongressen den uppmaningen till alla dem, som insett, att den religiösa humbugen är en fara, att undandraga sig dess inflytande. Särskildt gäller det att afstå från allt prästerligt och statskyrkligt inflytande och välde.»</w:t>
        <w:br/>
        <w:br/>
        <w:t>Invänder man nu, att detta är den socialistiska ungdomsklubbens program, och att de äldre kanske icke vilja helt underskrifva det, så kan dock ingen bestrida sanningen af, att dessa ungsocialister äro sina fäders barn, och att i grunden ingen skillnad råder mellan de äldre och de unga.</w:t>
        <w:br/>
        <w:br/>
        <w:t xml:space="preserve">Fråga herrarna nu, hvarför jag vid detta tillfälle kommer fram med detta, så blir svaret, att emedan situationen är sådan, och emedan det bedrifves en sådan agitation, så kan det ju sägas: Fordrar icke kyrkans värdighet, att </w:t>
      </w:r>
      <w:r>
        <w:rPr>
          <w:b/>
        </w:rPr>
        <w:t>hon²</w:t>
      </w:r>
      <w:r>
        <w:rPr>
          <w:b w:val="0"/>
        </w:rPr>
        <w:t xml:space="preserve"> frigöres från dessa sina uppenbara fiender.</w:t>
        <w:br/>
        <w:br/>
        <w:t>Och såge jag blott eller i första hand på kyrkans värdighet, skulle jag icke ett ögonblick tveka att säga: Det är icke blott önskvärdt, att sådana kunna träda ut, utan de borde uteslutas!</w:t>
        <w:br/>
        <w:br/>
        <w:t xml:space="preserve">Nog ligger någon vikt också på det, som kan höra till kyrkans värdighet. Men för en luthersk folkkyrka kan aldrig frågan om kyrkans värdighet vara det första och det viktigaste. För </w:t>
      </w:r>
      <w:r>
        <w:rPr>
          <w:b/>
        </w:rPr>
        <w:t>henne²</w:t>
      </w:r>
      <w:r>
        <w:rPr>
          <w:b w:val="0"/>
        </w:rPr>
        <w:t xml:space="preserve"> finnas uppgifter långt allvarligare än att taga vara på sin värdighet. </w:t>
      </w:r>
      <w:r>
        <w:rPr>
          <w:b/>
        </w:rPr>
        <w:t>Hon²</w:t>
      </w:r>
      <w:r>
        <w:rPr>
          <w:b w:val="0"/>
        </w:rPr>
        <w:t xml:space="preserve"> vill vara hans tjänare, som icke skämdes för någon, utan som tog sig an och var tillsammans med</w:t>
        <w:br/>
        <w:br/>
        <w:t xml:space="preserve">sådana, som allt annat hederligt folk drog sig för att vara till- Om vidgad sammans med. </w:t>
      </w:r>
      <w:r>
        <w:rPr>
          <w:b/>
        </w:rPr>
        <w:t>Hon²</w:t>
      </w:r>
      <w:r>
        <w:rPr>
          <w:b w:val="0"/>
        </w:rPr>
        <w:t xml:space="preserve"> vet, att </w:t>
      </w:r>
      <w:r>
        <w:rPr>
          <w:b/>
        </w:rPr>
        <w:t>hon²</w:t>
      </w:r>
      <w:r>
        <w:rPr>
          <w:b w:val="0"/>
        </w:rPr>
        <w:t xml:space="preserve"> har fått till uppgift att utföra i (Er ar hans ärenden och därför är hvad som hör till, hvad som höjer yrkan. | eller minskar </w:t>
      </w:r>
      <w:r>
        <w:rPr>
          <w:b/>
        </w:rPr>
        <w:t>hennes²</w:t>
      </w:r>
      <w:r>
        <w:rPr>
          <w:b w:val="0"/>
        </w:rPr>
        <w:t xml:space="preserve"> värdighet för </w:t>
      </w:r>
      <w:r>
        <w:rPr>
          <w:b/>
        </w:rPr>
        <w:t>henne²</w:t>
      </w:r>
      <w:r>
        <w:rPr>
          <w:b w:val="0"/>
        </w:rPr>
        <w:t xml:space="preserve"> af en ganska försvin- (Forts.) nande betydelse. Såsom kyrkans man skulle jag också, för så</w:t>
        <w:br/>
        <w:br/>
        <w:t>vidt ifrån kyrkans sida anspråk kommo fram att aflägsna den</w:t>
        <w:br/>
        <w:br/>
        <w:t>här ifrågavarande bestämmelsen ur dissenterlagen och därigenom</w:t>
        <w:br/>
        <w:br/>
        <w:t xml:space="preserve">utesluta dessa </w:t>
      </w:r>
      <w:r>
        <w:rPr>
          <w:b/>
        </w:rPr>
        <w:t>hennes²</w:t>
      </w:r>
      <w:r>
        <w:rPr>
          <w:b w:val="0"/>
        </w:rPr>
        <w:t xml:space="preserve"> motståndare, — jag skulle då, säger jag,</w:t>
        <w:br/>
        <w:br/>
        <w:t>— afråda ett sådant förslag. Jag anser nämligen, att kyrkan</w:t>
        <w:br/>
        <w:br/>
        <w:t>fått kallelse och plikt att trots allt det förnedrande, som däri</w:t>
        <w:br/>
        <w:br/>
        <w:t xml:space="preserve">ligger för </w:t>
      </w:r>
      <w:r>
        <w:rPr>
          <w:b/>
        </w:rPr>
        <w:t>henne²</w:t>
      </w:r>
      <w:r>
        <w:rPr>
          <w:b w:val="0"/>
        </w:rPr>
        <w:t>, dock försöka att utföra sitt uppdrag äfven</w:t>
        <w:br/>
        <w:br/>
        <w:t xml:space="preserve">Från allmän politisk ståndpunkt kan ju kanske svaret afges annorlunda. Jag har en gång i kyrkomötet sagt, när ett förslag sådant som det här föreliggande behandlades: en annan sak är det, om Riksdagen skulle besluta att taga ifrån kyrkan detta för </w:t>
      </w:r>
      <w:r>
        <w:rPr>
          <w:b/>
        </w:rPr>
        <w:t>henne²</w:t>
      </w:r>
      <w:r>
        <w:rPr>
          <w:b w:val="0"/>
        </w:rPr>
        <w:t xml:space="preserve"> så vanskliga uppdrag och denna för </w:t>
      </w:r>
      <w:r>
        <w:rPr>
          <w:b/>
        </w:rPr>
        <w:t>henne²</w:t>
      </w:r>
      <w:r>
        <w:rPr>
          <w:b w:val="0"/>
        </w:rPr>
        <w:t xml:space="preserve"> så svåra plikt.</w:t>
        <w:br/>
        <w:br/>
        <w:t xml:space="preserve">Vore nu den svenska kyrkan en organisation vid sidan om den svenska staten, vore den svenska folkkyrkan en fristående organisation gentemot den svenska staten, skulle från den synpunkten, från organisatorisk synpunkt sedt, det kunna vara att tillråda, hvad här nu är föreslaget. Men herrarna ha kanske aldrig riktigt allvarligt tänkt på, hvad den svenska kyrkan är? </w:t>
      </w:r>
      <w:r>
        <w:rPr>
          <w:b/>
        </w:rPr>
        <w:t>Hon²</w:t>
      </w:r>
      <w:r>
        <w:rPr>
          <w:b w:val="0"/>
        </w:rPr>
        <w:t xml:space="preserve"> är icke en organisation vid sidan om staten, icke en fristående organisation, utan </w:t>
      </w:r>
      <w:r>
        <w:rPr>
          <w:b/>
        </w:rPr>
        <w:t>hon²</w:t>
      </w:r>
      <w:r>
        <w:rPr>
          <w:b w:val="0"/>
        </w:rPr>
        <w:t xml:space="preserve"> är det svenska folket själft, för så vidt det vill hålla sig till kristen tro och vill vara verksamt för att befordra denna tro. Då är det fråga om — och jag betraktar nu saken icke alls ifrån kyrklig synpunkt utan från svensk folklig synpunkt — huruvida denna förändring är att tillråda eller afråda. Jag medger gärna, att meningarna kunna vara olika vid besvarandet af den frågan, meningarna mellan dem, som äro lika goda vänner af svenskt folk, svenskt folklif och kristet svenskt folklif. Men jag vill, att herrarna icke skola fatta sitt beslut utan att tänka på, hvad uteslutandet af den här berörda punkten ur dissenterlagen innebär. Kanske innebär det icke många synbara praktiska konsekvenser, det är möjligt. men dess betydelse ligger uti den princip. som därigenom skulle för första gången fastslås i svenska folkets historia.</w:t>
        <w:br/>
        <w:br/>
        <w:t>När dissenterlagen antogs — ja, det var ju åtskilliga förordningar förut, som gingo i samma riktning, så att man kan förlägga datum något längre tillbaka, men det inverkar icke på saken — då upphörde den svenska folkkyrkan att vara en enhetskyrka. Men då stod det ännu kvar, såvidt det beror på lagar, att svenska folket dock skulle vara ett kristet folk, och att ingen svensk medborgare, om jag undantager judarna, skulle lämnas utan kristligt religiös omvårdnad. Upphäfves nu föreliggande</w:t>
        <w:br/>
        <w:br/>
        <w:t>paragraf, så innebär det, att här i landet komma att finnas så och så många — jag vet icke antalet — svenska medborgare, hvilka icke tillhöra något religiöst samfund och hvilka icke äro föremål för någon religiös omvårdnad. Det är principen.</w:t>
        <w:br/>
        <w:br/>
        <w:t>Nu kan man ju säga: men detta är en abstrakt princip, och på denna ligger icke stor vikt! Och det kan ju så vara, men principer ha en märklig förmåga att småningom föda fram ur sig sina konsekvenser.</w:t>
        <w:br/>
        <w:br/>
        <w:t>Ser jag slutligen på hvad som innebär den största betänkligheten, icke ur principiell utan ur rent praktisk synpunkt, så är det frågan om dessa utträddas barn och den uppfostran, de komma att erhålla. Konsekvensen utaf borttagandet af den här ifrågavarande bestämmelsen kunde kanske snart bli, att dessa utträdda, om de nu också skola hafva någon makt öfver sina barns uppfostran, skola kunna undandraga dessa all religiös undervisning. Och så skulle vi komma därhän, att det i Sverige kunde bli såsom en vår legationspredikant i Paris berättade för mig, att det där hade händt honom. Han hade där i de bildade klasserna träffat på unga personer på jag tror omkring aderton år, hvilka, när han för dem nämnde namnet Kristus, icke hade någon aning om, hvem han var.</w:t>
        <w:br/>
        <w:br/>
        <w:t>Motionären har insett detta och har i sin motivering särskildt betonat nödvändigheten af att vidtaga särskilda omsorger om barnen till dem, som utträdde, och det håller jag honom räkning för. Jag skulle också ha hållit lagutskottet räkning för, om det hade upptagit och betonat detta i sin motivering. Men lagutskottet har i stället nöjt sig med att ur sin fjärding taga upp ett gammalt lagutskottsbetänkande och trycka af detta. Jag undrar för resten icke alls på, att man vänder på fjärdingarna, när man har så många utlåtanden att ge. Men lagutskottet hade dock enligt min mening bort betona det nämnda, så mycket mer som motionären själf pekar på det.</w:t>
        <w:br/>
        <w:br/>
        <w:t>I detta ögonblick står jag här icke såsom kyrkans man utan såsom riksdagsman. Som sådan har jag icke hjärta att yrka bifall till utskottets förslag, men jag skall icke heller göra något annat yrkande.</w:t>
      </w:r>
    </w:p>
    <w:p>
      <w:pPr>
        <w:pStyle w:val="Heading2"/>
      </w:pPr>
      <w:r>
        <w:t>2. Theodor af Ekenstam (Lantmanna- och borgarepartiet inom andrakammaren, man)</w:t>
      </w:r>
    </w:p>
    <w:p>
      <w:r>
        <w:rPr>
          <w:b w:val="0"/>
        </w:rPr>
        <w:t>Herr grefve och talman, mina herrar! Då detta betänkande kom i eder hand, var det ju ganska naturligt, att ni skulle tro, att det var produkten af ett enigt lagutskott. Jag vill i afseende å den saken endast anmäla, att jag icke haft tillfälle att deltaga uti behandlingen af detta ärende, och hade, om jag haft ett sådant tillfälle, icke kunnat bidraga till det slut, hvartill utskottet kommit.</w:t>
        <w:br/>
        <w:br/>
        <w:t>Den föregående, högt ärade talaren har på ett synnerligen kraftigt och belysande sätt utredt den ställning, hvari den svenska statskyrkan och svenska staten stå till hvarandra. Jag tror, att</w:t>
        <w:br/>
        <w:br/>
        <w:t>just det uttryck, han fällde, att svenska statskyrkan är svenska folket själft, på bästa sätt visar, i hvilken intim förening dessa båda begrepp stå. Det gäller således, om vi skola följa lagutskottet och bifalla motionen, att helt och hållet omlägga vårt statssystem och vårt rättssystem. "Till en sådan omläggning är jag för min del icke beredd, och det är därför, herr talman, jag yrkar afslag på utskottets hemställan.</w:t>
      </w:r>
    </w:p>
    <w:p>
      <w:pPr>
        <w:pStyle w:val="Heading2"/>
      </w:pPr>
      <w:r>
        <w:t>3. Lorents Petersson (–, man)</w:t>
      </w:r>
    </w:p>
    <w:p>
      <w:r>
        <w:rPr>
          <w:b w:val="0"/>
        </w:rPr>
        <w:t>Då jag i lagutskottet deltagit i behandlingen af ärendet och varit med om det slut, hvartill utskottet kommit, ber jag att få framhålla de hufvudsakliga skäl, som bestämt mig för att instämma med lagutskottet.</w:t>
        <w:br/>
        <w:br/>
        <w:t xml:space="preserve">Frågan kan ju ses från olika synpunkter. Om jag ser den från uteslutande kyrklig synpunkt, kan jag icke fatta annat, än att det vore en ren fördel för kyrkan att blifva af med sådana personer, som på inga villkor vilja vara </w:t>
      </w:r>
      <w:r>
        <w:rPr>
          <w:b/>
        </w:rPr>
        <w:t>hennes²</w:t>
      </w:r>
      <w:r>
        <w:rPr>
          <w:b w:val="0"/>
        </w:rPr>
        <w:t xml:space="preserve"> medlemmar eller, som utskottet säger, »mot </w:t>
      </w:r>
      <w:r>
        <w:rPr>
          <w:b/>
        </w:rPr>
        <w:t>henne²</w:t>
      </w:r>
      <w:r>
        <w:rPr>
          <w:b w:val="0"/>
        </w:rPr>
        <w:t xml:space="preserve"> hysa ett rent af hatfullt sinnelag», »motarbeta </w:t>
      </w:r>
      <w:r>
        <w:rPr>
          <w:b/>
        </w:rPr>
        <w:t>hennes²</w:t>
      </w:r>
      <w:r>
        <w:rPr>
          <w:b w:val="0"/>
        </w:rPr>
        <w:t xml:space="preserve"> mål och skada </w:t>
      </w:r>
      <w:r>
        <w:rPr>
          <w:b/>
        </w:rPr>
        <w:t>hennes²</w:t>
      </w:r>
      <w:r>
        <w:rPr>
          <w:b w:val="0"/>
        </w:rPr>
        <w:t xml:space="preserve"> verksamhet». Det kan ju vara riktigt hvad som sades af den förste ärade talaren, att kyrkans värdighet icke lider af att inom sig hysa sådana medlemmar. Men det finnes andra synpunkter att taga i betraktande. Jag vill fråga för min del, om icke kyrkan, genom att lämna tillfälle till utträde ur kyrkan, skulle främja sin egen verksamhet och sitt inflytande.</w:t>
        <w:br/>
        <w:br/>
        <w:t xml:space="preserve">Ser man saken från ren statssynpunkt, kan jag väl förstå, att man finner det betänkligt att genom tillstyrkande af en lagändring på detta område taga steget ut och formligen erkänna, att det medgifves rena hedningar och religionslösa människor att vara medlemmar af staten. Man kan ju känna det motbjudande att vara med härom och med sin röst härtill medverka. Men hvad tjänar det till att blunda för den förhandenvarande påtagliga verkligheten? Är det icke alldeles tydligt, att det finnes ibland vårt folk många, många — och deras antal ökas alltjämt — som icke blott äro främmande för vår kyrka och </w:t>
      </w:r>
      <w:r>
        <w:rPr>
          <w:b/>
        </w:rPr>
        <w:t>hennes²</w:t>
      </w:r>
      <w:r>
        <w:rPr>
          <w:b w:val="0"/>
        </w:rPr>
        <w:t xml:space="preserve"> arbete, utan som äro </w:t>
      </w:r>
      <w:r>
        <w:rPr>
          <w:b/>
        </w:rPr>
        <w:t>hennes²</w:t>
      </w:r>
      <w:r>
        <w:rPr>
          <w:b w:val="0"/>
        </w:rPr>
        <w:t xml:space="preserve"> öppna fiender, som håna och försmäda allt hvad vår kyrka sätter högt och heligt? Skulle det vara någon vinst att fasthålla de förhållanden, som göra, att dessa icke ha rätt att träda ut ur kyrkan, då, såsom utskottet påpekar, deras mot kyrkan fientliga sinnelag »i väsentlig mån ökas af tvånget att kvarstå inom kyrkan». Jag tänker för min del, att kampen, som från det hållet föres mot kyrkan, snarare komme att dämpas än stegras genom ett bifall till den föreslagna åtgärden.</w:t>
        <w:br/>
        <w:br/>
        <w:t>Det har ju också rätt länge varit mycket lätt att vinna utträde ur vår kyrka. Sedan år 1873 har det blott behöfts att uppgifva ett främmande trossamfund, till hvilket man velat öfvergå, men staten har icke kontrollerat, att man verkligen</w:t>
        <w:br/>
        <w:br/>
        <w:t>öfvergått till det samfund, som man uppgifvit. Därför tror jag, att det finnes ganska många i vårt land, och det torde också kunna bestämdt uppvisas, som icke höra till något samfund alls, så att faktiskt är redan principen, hvarom förut talats, bruten.</w:t>
        <w:br/>
        <w:br/>
        <w:t>Och hvilka är det, som dissenterlagens bestämmelser hindra att utgå ur kyrkan? Jo, de mera samvetsgranna, de som icke</w:t>
        <w:br/>
        <w:br/>
        <w:t>- vilja hyckla en anslutning till ett samfund, som de icke vilja</w:t>
        <w:br/>
        <w:br/>
        <w:t>tillhöra. Däremot ha de mindre nogräknade mycket lätt att utträda. Skall då lagen vara till favör för de mindre samvetsgranna, men till hinder för de mera rättänkande och ärliga? Jag tror för min del, att det vore mycket lyckligt, om man här kunde medverka till uppdragande af klara linjer.</w:t>
        <w:br/>
        <w:br/>
        <w:t>Men det vill jag hafva fastslaget, att det nu icke är fråga om att borttaga den obligatoriska kristendomsundervisningen för vårt folks medlemmar. Såsom redan den förste talaren anmärkt, har ju motionären med särskildt eftertryck betonat, att om det här skall blifva en lagstiftning, skall det icke ske något intrång på den gamla ordningen, att undervisning i kristendom lämnas åt alla Sveriges barn utan undantag, äfven deras, som utträdt ur statskyrkan. Och det är under den uttryckliga förutsättning, att denna grundsats med afseende på vårt folks uppfostran och undervisning i kristendom hålles vid makt, som jag både i lagutskottet afgifvit och nu ämnar afgifva min röst till förmån för lagutskottets utlåtande.</w:t>
        <w:br/>
        <w:br/>
        <w:t>Jag ber att till lagutskottets utlåtande få yrka bifall.</w:t>
      </w:r>
    </w:p>
    <w:p>
      <w:pPr>
        <w:pStyle w:val="Heading2"/>
      </w:pPr>
      <w:r>
        <w:t>4. Elis Heuman (Första kammarens protektionistiska parti, man)</w:t>
      </w:r>
    </w:p>
    <w:p>
      <w:r>
        <w:rPr>
          <w:b w:val="0"/>
        </w:rPr>
        <w:t>Då jag icke hade tillfälle att närvara i lagutskottet, när denna fråga där behandlades, i hvilket fall jag säkert hade fått tillfälle att, ehuru suppleant, i behandlingen taga del, har jag ansett som min skyldighet att här uppträda för att säga, avt jag icke kan för min del vara med om det slut, hvartill lagutskottet kommit i frågan. Ty jag kan icke tänka mig att kunna vara med om följderna af den skrifvelse, hvarom lagutskottet här hemställt till Riksdagen. Skall det nämligen bli någon verklig effektivitet af denna skrifvelse, så skall ju Kungl. Maj:t framlägga ett förslag för Riksdagen, hvilket enligt min mening komme att till sina yttersta konsekvenser utmynna i att offentligt proklamera en religionslös stat.</w:t>
        <w:br/>
        <w:br/>
        <w:t>Det förefaller mig ock, som om staten, ifall den en gång medgifvit sina medborgare religionslöshet, sedan svårligen skulle kunna tvinga dem att ge religionsundervisning åt sina barn. Följden af att staten blir religionslös synes mig därför alldeles konsekvent blifva den, som biskop Billing här nyss antydde: en religionslös skola. Och så stå vi vid något, som vi icke tänkt oss in uti. Vi komma till slut därhän att öfverflytta skolan ifrån kyrkostämmans område till kommunalstämmans. Ty med detsamma en svensk medborgare blir religionslös, kan han icke ha</w:t>
        <w:br/>
        <w:br/>
        <w:t>rösträtt på svensk kyrkostimma, och således skulle han beröfvas rösträtten i fråga om skolan, därest denna fortfarande skulle höra under kyrkostämman. Då stå vi ju midt uppe i den situationen att genom en bakdörr ha fått in kyrkans skiljande från skolan.</w:t>
        <w:br/>
        <w:br/>
        <w:t>Jag vet, att det kan finnas många, som önska denna skilsmässa, men jag tror icke, att dessa egentligen skulle vilja, att detta skall ske på en bakväg. Den saken vill man nog, tror jag, ha på en särskild plattform, så att man vet, hvart man går och hvad det gäller, när man fattar beslut i en fråga med så vidtgående konsekvenser.</w:t>
        <w:br/>
        <w:br/>
        <w:t>Just därför är det, herr grefve och talman, som jag nu yrkar afslag på lagutskottets betänkande.</w:t>
      </w:r>
    </w:p>
    <w:p>
      <w:pPr>
        <w:pStyle w:val="Heading2"/>
      </w:pPr>
      <w:r>
        <w:t>5. Karl Ekman (Första kammarens protektionistiska parti, man)</w:t>
      </w:r>
    </w:p>
    <w:p>
      <w:r>
        <w:rPr>
          <w:b w:val="0"/>
        </w:rPr>
        <w:t xml:space="preserve">Vare sig statskyrkan skall anses stå i den innerliga förbindelse med staten, som den förste ärade talaren gjorde gällande, eller statskyrkan får betraktas såsom något mera fristående, i det att man anser, att den kyrka, som omfattas af folkets stora flertal, just därför bör af staten tilldelas den privilegierade ställning, som en statskyrka alltid innehar, så gäller i båda fallen, att fördelen af statskyrkan är den, att </w:t>
      </w:r>
      <w:r>
        <w:rPr>
          <w:b/>
        </w:rPr>
        <w:t>hon²</w:t>
      </w:r>
      <w:r>
        <w:rPr>
          <w:b w:val="0"/>
        </w:rPr>
        <w:t xml:space="preserve"> har rätt och plikt att nå alla med sin kyrkliga omvårdnad. Och det har ju också betonats, att det är mycket angeläget att icke förhastadt medgifva fritt utträde ur statskyrkan, enär då kyrkans möjligheter att nå alla skulle minskas. Emellertid tror jag, att äfven om ett sådant utträde medgifves, har kyrkan möjlighet att nå det stora flertalet. </w:t>
      </w:r>
      <w:r>
        <w:rPr>
          <w:b/>
        </w:rPr>
        <w:t>Hon²</w:t>
      </w:r>
      <w:r>
        <w:rPr>
          <w:b w:val="0"/>
        </w:rPr>
        <w:t xml:space="preserve"> får då naturligtvis utöfva en mera missionerande verksamhet.</w:t>
        <w:br/>
        <w:br/>
        <w:t xml:space="preserve">Det är dock ytterst betänkligt, att kyrkans uppenbara fiender skola ha rättighet att besluta i </w:t>
      </w:r>
      <w:r>
        <w:rPr>
          <w:b/>
        </w:rPr>
        <w:t>hennes²</w:t>
      </w:r>
      <w:r>
        <w:rPr>
          <w:b w:val="0"/>
        </w:rPr>
        <w:t xml:space="preserve"> allra innersta och ömtåligaste lifsangelägenheter. Den, som tillhör kyrkan, har nämligen rättighet att yttra sig på kyrkostämma och där deltaga i besluten, han kan blifva ledamot i kyrkomötet o. s. v. och sålunda på alla vägar, som stå kyrkans medlemmar till buds, utöfva inflytande på </w:t>
      </w:r>
      <w:r>
        <w:rPr>
          <w:b/>
        </w:rPr>
        <w:t>hennes²</w:t>
      </w:r>
      <w:r>
        <w:rPr>
          <w:b w:val="0"/>
        </w:rPr>
        <w:t xml:space="preserve"> angelägenheter. Det kan icke vara riktigt, att kyrkans fiender på det sättet skola beredas tillfälle att utöfva sin mot kyrkan fientliga verksamhet i </w:t>
      </w:r>
      <w:r>
        <w:rPr>
          <w:b/>
        </w:rPr>
        <w:t>hennes²</w:t>
      </w:r>
      <w:r>
        <w:rPr>
          <w:b w:val="0"/>
        </w:rPr>
        <w:t xml:space="preserve"> innersta sköte. Jag tror sålunda, att vi förr eller senare komma till den punkt, då det blir nödvändigt att medgifva ett sådant utträde, hvarom här är fråga.</w:t>
        <w:br/>
        <w:br/>
        <w:t>Men en annan sak är, om det kan vara tillrådligt att redan nu medgifva fritt utträde. Då det häromdagen var fråga om revision af kyrkolagen, tillät jag mig framhålla angelägenheten af, att de kyrkliga frågorna underkastades en genomgående principdebatt från sakkunnigt håll, innan man inläte sig på lagstiftningsåtgärder. Det är särskildt viktigt i en sådan fråga som denna. Vi hafva redan hört, att det är oklart, hur det skall gestalta sig med afseende å kristendomsundervisningen för barnen till dem,</w:t>
        <w:br/>
        <w:br/>
        <w:t>som fått utträda ur kyrkan, och det finnes åtskilliga andra konsekvenser, som icke synas vara klart insedda ännu. Enligt min tanke gör man klokt uti att icke tillåta ett fullkomligt fritt utträde, förrän frågan mera mognat. Jag tillåter mig därför yrka afslag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