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1075</w:t>
      </w:r>
    </w:p>
    <w:p>
      <w:r>
        <w:rPr>
          <w:b/>
        </w:rPr>
        <w:t xml:space="preserve">Datum: </w:t>
      </w:r>
      <w:r>
        <w:t>1908-03-28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Ivan Svensson (Första kammarens nationella parti, man)</w:t>
      </w:r>
    </w:p>
    <w:p>
      <w:r>
        <w:rPr>
          <w:b w:val="0"/>
        </w:rPr>
        <w:t>Herr talman, mina herrar! Vid remissen af Kungl. Maj:ts proposition angående lag om skogsaccis ber jag få uttala mina betänkligheter mot detta lagförslag samt mina förhoppningar, att utskottet kommer att afstyrka och Riksdagen att afslå detsamma.</w:t>
        <w:br/>
        <w:br/>
        <w:t>Den kungl. propositionen föreslår enligt mitt förmenande en orättvisa, en ny form af dubbelbeskattning. Såsom bekant skall fast egendom taxeras till sitt verkliga värde. Vid bestäm- .mandet af detta verkliga värde skall hänsyn tagas till bland annat å egendomen befintlig ståndskog. Ståndskogens värde ingår alltså i den fasta egendomens taxeringsvärde.</w:t>
        <w:br/>
        <w:br/>
        <w:t>Bestämmelsen härom följes nu olika på olika platser. Det säges ju, att den på vissa orter icke alls efterlefves. Ja, jag vet väl, att den i stora delar af vårt land endast i ringa mån efterlefves. Så är exempelvis förhållandet i Norrland. Såsom jag hade tillfälle att för några år sedan framhålla, voro enligt 1902 års statistik jordbruksfastigheterna i de fem norrländska länen taxerade till endast 310 miljoner kronor. Nu har åter, enligt den sista statistik, som kommit oss till handa, en rättelse i någon mån skett, så att taxeringsvärdet numera uppgår till cirka 400 miljoner kronor, och det är alldeles visst, att vid den taxering, som sker i år, denna siffra kommer att ytterligare i afsevärd mån höjas. ms</w:t>
        <w:br/>
        <w:br/>
        <w:t>Äfven i de södra delarne af vårt land, exempelvis i Östergötland, förhåller det sig på många ställen så, att ståndskogens värde endast obetydligt ingår i fastighetens taxeringsvärde. Men den omständigheten, att i några delar af vårt land gällande lag ej följes, berättigar väl icke statsmakterna att ålägga skogsägarne i de trakter, hvarest man sökt i möjligaste mån ställa sig bevillningsförordningens föreskrifter till efterrättelse, denna dubbla beskattning.</w:t>
        <w:br/>
        <w:br/>
        <w:t>Jag vill framhålla, att det icke är i alla delar af vårt land, som skogsegendomar taxeras så mycket lägre än sitt verkliga värde. Under goda konjunkturer kan det ju så vara, att i regel saluvärdena öfverstiga taxeringsvärdet. Men om kristider och fallande konjunkturer inträda, kan det ofta nog på sina håll hända, att försäljningsvärdet understiger taxeringsvärdet. Jag erinrar mig speciellt, hurusom under den kris, som öfvergick Örebro läns bergslag i slutet af 1880-talet, i Nora, Linde och Ramsbergs bergslager skogsegendomarne såldes betydligt under taxeringsvärdet. Inom Örebro län, som jag särskildt känner till och af hvars pröf-</w:t>
        <w:br/>
        <w:br/>
        <w:t>Som sagdt, de orter, som velat ställa sig bevillningsförordningens föreskrifter till efterrättelse, skola väl icke, därför att kronoombuden och vederbörande finansministrar ej tillsett, att man i andra trakter fullgjort lagens föreskrifter, drabbas af extra beskattning.</w:t>
        <w:br/>
        <w:br/>
        <w:t>Framför allt synes det mig vara klart, att, äfven om Riksdagen skulle finna den ifrågavarande principen vara riktig och vilja antaga denna dubbla beskattningsform, lagförslaget borde hafva varit åtföljdt af ett förslag till ny bevillningsförordning. Att taga den dubbla beskattningsformen och samtidigt låta nu gällande bevillningsförordnings föreskrifter stå oförändrade synes mig vara en uppenbar orätt. Vi skola komma ihåg, att nu i dagarna påbörjas taxeringsförrättningar, genom hvilka fastighetsvärdena för kommande femårsperiod skola fastställas på grund af nuvarande bevillningsförordning.</w:t>
        <w:br/>
        <w:br/>
        <w:t>Så är det en annan sak, som jag också vill påpeka. Jag har icke haft tillfälle att sätta mig in i propositionens detaljer, ty den kom först för några minuter sedan på kammarens bord. Men jag vill påpeka, att, såvidt jag kunnat finna, skatten föreslås skola utgå med 2 = af den afverkade skogens bruttovärde å rot. Om nu Riksdagen mot förmodan skall antaga denna särbeskattning af skogen, så synes det mig, att åtminstone den rättvisan bör iakttagas, att en skogsägare, som nedlägger betydande kostnader på skogskultur i form af skogssådd, gallring, afdikningar, väganläggningar i skogarna och dylikt, skall hafva rätt att från det belopp, som blir föremål för beskattning, afdraga sådana under samma år å egendomen nedlagda kostnader, så att endast nettoafkastningen af hans skogsskötsel och ingenting annat taxeras.</w:t>
        <w:br/>
        <w:br/>
        <w:t>Det är endast dessa synpunkter, jag velat be att få framhålla.</w:t>
        <w:br/>
        <w:br/>
        <w:t xml:space="preserve">Kyrklig vigsel förrättas af präst inom svenska kyrkan. De, som vilja ingå äktenskap, äga att till förrättande af vigsel välja den präst inom kyrkan, de själfva åstunda; dock att skyldighet att viga åligger allenast präst i församling, där mannen eller </w:t>
      </w:r>
      <w:r>
        <w:rPr>
          <w:b/>
        </w:rPr>
        <w:t>kvinnan¹</w:t>
      </w:r>
      <w:r>
        <w:rPr>
          <w:b w:val="0"/>
        </w:rPr>
        <w:t xml:space="preserve"> har sitt hemvist.</w:t>
        <w:br/>
        <w:br/>
        <w:t>Vigsel skall förrättas i enlighet med föreskrifterna i den för svenska kyrkan gällande handbok. i</w:t>
        <w:br/>
        <w:br/>
        <w:t xml:space="preserve">Vigsel mellan medlemmar af svenska kyrkan förrättas af präst inom kyrkan i enlighet med föreskrifterna i den för kyrkan gällande handbok. De, som vilja ingå äktenskap, äga att till förrättande af vigsel välja den präst inom kyrkan, de själfva åstunda; dock att skyldighet att viga åligger allenast präst i församling, där mannen eller </w:t>
      </w:r>
      <w:r>
        <w:rPr>
          <w:b/>
        </w:rPr>
        <w:t>kvinnan¹</w:t>
      </w:r>
      <w:r>
        <w:rPr>
          <w:b w:val="0"/>
        </w:rPr>
        <w:t xml:space="preserve"> har sitt hemvist. Ar någondera frånskild make, vare präst ej skyldig förrätta vigsel, medan den, med hvilken det förra äktenskapet var ingånget, ännu lefver.</w:t>
      </w:r>
    </w:p>
    <w:p>
      <w:pPr>
        <w:pStyle w:val="Heading2"/>
      </w:pPr>
      <w:r>
        <w:t>2. Carl Lindhagen (Socialdemokraterna, man)</w:t>
      </w:r>
    </w:p>
    <w:p>
      <w:r>
        <w:rPr>
          <w:b w:val="0"/>
        </w:rPr>
        <w:t>Herr talman! Vid den nu föredragna paragrafen har jag reserverat mig, hvilket föranleder mig att yttra några ord i frågan.</w:t>
        <w:br/>
        <w:br/>
        <w:t>Man kan ju vara ganska tveksam, huru man bör ställa sig</w:t>
        <w:br/>
        <w:br/>
        <w:t>denna sak, då man, såsom förhållandet är med mig, står såsom ensam reservant bland Andra Kammarens utskottsledamöter samt frågan rör en samvetssak, hvarom alltid bör iakttagas den största försiktighet. Jag vill minst af alla ålägga någon människa samvetstvång, men förhållandena äro i detta fall sådana, att, då jag väger det ena mot det andra, jag icke kan komma till annat resultat, än att jag för min del ej kan biträda den väckta motionen och följaktligen icke heller lagutskottets tillstyrkande af densamma.</w:t>
        <w:br/>
        <w:br/>
        <w:t>Samvetsfrihet är ju en sak, om hvilken man älskar säga, att den bör på allt sätt upprätthållas, så långt det kan ske utan kränkning af annans rätt. Men i detta fall förhåller det sig verkligen så, att den samvetsfrihet, som svenska statskyrkans prästerskap här vill göra för sig gällande, icke kan i och för sig upprätthållas utan att detta väcker en del anstöt på andra håll. Det kommer för det första att ske på bekostnad af andra medborgares rätt, hvilka genom laglig skilsmässa blifvit lösta från sitt förra äktenskap. Denna prästernas samvetsfrihet ger också, kan man säga, en släng åt andra vigselförrättare. Den står därjämte i strid med statens lagar. Och slutligen kan man ifrågasätta, om den icke står i strid med själfva den religion, i hvars namn krafvet göres gällande.</w:t>
        <w:br/>
        <w:br/>
        <w:t>Alla dessa saker göra, att man verkligen kan blifva ganska betänksam, om det här i själfva verket är fråga om samvetsfrihet, eller i alla händelser, huruvida de skäl, som tala för densamma, äro så starka och bärande, att de skäl, som tala mot densamma, icke väga upp de förra skälen.</w:t>
        <w:br/>
        <w:br/>
        <w:t>Hvad som har gjort, att jag såsom ledamot af lagutskottet ansett mig kunna sätta mig till doms öfver motionen, är i första rummet, och jag skulle nästan kunna säga uteslutande, det förhållandet, att denna samvetsfrihet gör anspråk på att få utöfvas på bekostnad af andras rättigheter, ja man kan också säga på bekostnad af andras samvetsfrihet. Den förutsätter nämligen, att sådana medborgare, som under skydd af statens lagar hafva på lagligt sätt blifvit skilda i sitt äktenskap, skola af en annan statens lag prickas; att i den andra lagen skall uttalas, att dessa</w:t>
        <w:br/>
        <w:br/>
        <w:t xml:space="preserve">människor i viss mån hafva ur kristlig synpunkt öfverskridit sina befogenheter, då de låtit på sig tillämpa gällande lag om skillnad i äktenskap. Man måste också besinna, att många frånskilda makar kanske i själ och hjärta tillhöra svenska statskyrkan, och i all synnerhet kan detta inträffa i fråga om det </w:t>
      </w:r>
      <w:r>
        <w:rPr>
          <w:b/>
        </w:rPr>
        <w:t>kvinnliga¹</w:t>
      </w:r>
      <w:r>
        <w:rPr>
          <w:b w:val="0"/>
        </w:rPr>
        <w:t xml:space="preserve"> elementet. Deesa medborgare kunna anse, att det är något för dem ovillkorligen bjudande, att det nya äktenskap, i hvilket de inträda, fullkomnas genom kyrklig vigsel i den församling, där de bo. Detta är för dessa personer också en samvetssak. Men deras rätt att härutinnan få sin samvetsfrihet respekterad skall upphäfvas genom en statsämbetsmans anspråk att få hafva särskild samvetsfrihet för sin räkning. Detta är som sagdt för mig det afgörande skälet. Då jag väger ämbetsmannens anspråk mot medborgarens anspråk, finnes ingen annan utväg än att sätta medborgarens samvetsfrihet före ämbetsmannens, ty medborgaren har ju alls ingen annan möjlighet att reda sig, under det att ämbetsmannen kan fritt bestämma, huruvida han vill inträda eller afträda såsom ämbetsman i det samhälle, hvars lagar icke passa hans religiösa medvetande.</w:t>
        <w:br/>
        <w:br/>
        <w:t>Så vet jag också, att en hel del af de andra vigselförrättarne, nämligen af de civila vigselförrättarne, känna sig uppbragta öfver att på detta sätt blifva utpekade, som om de hade ett annat slags samvete. Detta är icke min synpunkt på saken, ty mig gör det alldeles detsamma. Jag blir ju också enligt lagen en sådan vigselförrättare, och jag känner mig icke kränkt på något sätt, om lagen icke förutsätter, att jag skall ha alldeles samma samvetsbetänkligheter som svenska statskyrkans präster. Då jag anser, att det ligger väl stark bokstafstolkning i detta kraf från prästernas sida, tycker jag, att alla civila vigselförrättare icke behöfva taga sig vid, om svenska statskyrkans präster anse, att de behöfva få en sådan här särskild förmån. Men jag vet, att många af de civila vigselförrättarne ha en annan uppfattning, och de fråga: Hvad är det för skick och bruk, att den ena vigselförrättaren får vissa samvetsbetänkligheter lagfästade och den andra icke?</w:t>
        <w:br/>
        <w:br/>
        <w:t>Vidare är att taga i betraktande den synpunkten, om en statens tjänsteman i allmänhet kan få hafva anspråk på att få en särskild lag för sig, som strider mot statens regelbundna lagar. Det är många, som anse, att det i själfva verket aldrig bör gå för sig. Jag står icke på den ståndpunkten, utan måste för min del konstatera, att statens lagar på olika områden äro så bristfälliga, att individens anspråk att i många fall få göra gällande sin individuella uppfattning i strid mot dessa lagar måste understundom i någon mån godtagas. Så har skett, därigenom att beväringsmän, som hysa samvetsbetänkligheter att utöfva beväringsyrket, om jag så må kalla det, ha fått viss befrielse därifrån. Och jag finner det därför icke alldeles orimligt, att äfven en statskyrkans ämbetsman skulle på enahanda grunder få en sådan be-</w:t>
        <w:br/>
        <w:br/>
        <w:t>frielse, som här är ifrågasatt, ehuru jag måste säga, att medborgarens rätt att få en dylik befrielse från något, som statens lagar tvinga honom till, måste vara större än ämbetsmannens rätt att såsom ämbetsman vinna befrielse från att lyda statens lagar. Men då måste man dock också undersöka, i hvad mån detta anspråk ifrån prästerligt håll ur statens synpunkt kan grunda sig äfven på annat än kraf på samvetsfrihet, huruvida det icke i viss mån kan betyda ett kraf på särskild makt. Jag vill visst icke påstå, att den ärade motionären på något sätt varit besjälad af denna synpunkt. Men jag undrar, om icke hos en stor del af prästerskapet bakom detta sticker upp något af de gamla sträfvandena, som en gång föranledde till, att någon yttrade, att &gt;Svea rike skall icke vara ett prästagäll». Detta fick sin belysning i Första Kammaren af biskop Billing, då han, såsom det sagts mig, framhöll att, om denna lag går igenom, prästerna troligen icke vidare skulle känna samvetstvånget så svårt, utan lättare än förut skulle vilja foga sig i att viga frånskilda. Men är det på detta sätt och ser man frågan ur den synpunkten, är den icke längre en samvetsfråga, utan, såvidt jag förstår, en maktfråga. Då har hela detta kraf alldeles förlorat sin befogenhet.</w:t>
        <w:br/>
        <w:br/>
        <w:t>Så kommer slutligen en sak, som Jag tillåtit mig påpeka i reservationen, men som jag naturligtvis icke har rättighet att göra gällande annat än som en rent individuell uppfattning, och det är, att det kan strängt taget ifrågasättas, huruvida icke detta anspråk står i strid mot de etiska principer — de metafysiska frågorna lämnar jag alldeles å sido — de etiska principer för denna världen, på hvilka äfven kristendomen bygger. Det är nämligen så, om jag icke misstager mig, att alla religiösa läror, alla filosofiska läror, ja, jag skulle till och med kunna säga, alla statsekonomiska läror måste dock i grund och botten, om det skall vara något bevändt med dem, bygga på något litet af hvad man kallar kärleksbudet, läran om broderskapet. Och hvad kristendomen angår, får jag verkligen säga, att jag aldrig hört den satsen från någon af dessa olika läror uttalas mera radikalt — och följaktligen mera riktigt och därför äfven mera omöjligt att efterlefva — än i orden: »älsken edra ovänner».</w:t>
        <w:br/>
        <w:br/>
        <w:t>Nu finna vi, att bland prästerna själfva råder en schism i denna fråga. Åtskilliga säga, att detta kraf strider mot kristendomens grundsanningar. De flesta däremot synas stå på den andra sidan. Och det är ju oftast så, att i alla religiösa samfund är det lekmannaelementet, som uppbär den religiösa andan: men ämbetsmannakåren inom dem, liksom i alla ämbetsverk, tenderar att mera fästa sig vid det formella än det reella. Så blir det inom alla hierarkier en bokstafsträldom i stället för lefvande lif. Jag undrar, om det finnes någon enda i denna kammare, som icke har en känsla af att hvad som gjort, att kristendomens etiska uppfattning om kärleksbudet gripit så många</w:t>
        <w:br/>
        <w:br/>
        <w:t>sinnen, det är icke vidhållandet af sådana påståenden, som motionären här framhållit, utan alldeles raka motsatsen.</w:t>
        <w:br/>
        <w:br/>
        <w:t>Det kan icke förnekas, att en hel del präster i god tro och bästa öfvertygelse äro bundna af denna bokstafstolkning. Deras ställning kanske gör dem ondt, och man skulle ju därför gärna vilja befria dem från detta samvetstvång. Men då man väger allt det andra mot detta, har jag icke kunnat finna annat än att prästernas anspråk böra vika för samhällets kraf. Hvad man ofta kanske mest fäst sig vid är vigselformulärets lydelse, som anses icke vara affattadt med tanke på skyldigheten att sammanviga frånskilda. Men nuturligtvis skall icke civillagen rättas efter vigselformuläret, utan vigselformuläret måste rättas efter civillagen.</w:t>
        <w:br/>
        <w:br/>
        <w:t>Nu går antagligen i alla fall det föreliggande förslaget igenom och blir lag. Men då anser jag mig böra uttala, att däri förefinnes en alldeles särskild uppfordran till att genast taga itu med den stora brist, som vidlåder detta lagförslag, nämligen att det icke är grundadt på det obligatoriska civiläktenskapet. Då vore man befriad från dylika kontroverser som den nu förefintliga. Lagförslagets antagande kommer, särskildt i belysningen af förevarande fråga, att utgöra en omedelbar utgångspunkt för sträfvandena att få ett obligatoriskt civiläktenskap, sträfvanden, om hvilka herr Carlssons i Malmberget motion redan varslat.</w:t>
        <w:br/>
        <w:br/>
        <w:t>Jag skall, herr talman, i alla fall tillåta mig framställa det yrkande, att denna paragraf måtte godkännas, dock med uteslutande af sista punkten i första stycket.</w:t>
        <w:br/>
        <w:br/>
        <w:t>I detta anförande instämde herrar Branting, Höjer, Tengdahl, Larsson i Lund, Thorsson, Starbäck, Sandin i Grums, Leksell, Rydén, Kjellberg, Lindley, Nyström, Kropp, Söderbergh i Karlshamn, Lindblad i Göteborg, Eriksson i Grängesberg, Larsson i Västerås, Berglund, Karlsson i Fjäl, Petrén och Rune.</w:t>
      </w:r>
    </w:p>
    <w:p>
      <w:pPr>
        <w:pStyle w:val="Heading2"/>
      </w:pPr>
      <w:r>
        <w:t>3. Per Pehrsson (Nationella framstegspartiet, man)</w:t>
      </w:r>
    </w:p>
    <w:p>
      <w:r>
        <w:rPr>
          <w:b w:val="0"/>
        </w:rPr>
        <w:t>Herr talman, mina herrar! Jag skulle kunna inskränka mig till att hänvisa därtill, att, för så vidt detta stycke strykes, kommer Andra Kammarens beslut i motsättning till hvad Första Kammaren redan beslutat. För dem, som önska civiläktenskapslagens framgång, är det därför en ganska naturlig sak att, oberoende af den ståndpunkt, man för öfrigt kan ha i denna särskilda fråga, likväl tillstyrka den.</w:t>
        <w:br/>
        <w:br/>
        <w:t>Jag skall emellertid be att få taga upp till bemötande några af de skäl, som af den siste ärade talaren framdragits mot min motion. Han har talat om att en lagstiftning i det hänseendet, som jag har ifrågasatt, skulle stå i strid mot medborgarnes intressen och i strid mot öfrig svensk lagstiftning. Vi ba ju haft åtskilliga frågor, som i viss mån äro analoga med denna. Jag vill därvidlag erinra om hvad lagutskottet yttrade i denna fråga,</w:t>
        <w:br/>
        <w:br/>
        <w:t>då den var före år 1900. »När det gäller samvetsbetänkligheter» — så säger utskottet — »bör skälig hänsyn tagas till dessa åskådningssätt och medgifvande göras, för så vidt sådant kan lämnas utan att därmed något större eller viktigare intresse åsidosättes». När fråga var före föregående år om värnpliktiges befrielse från deltagande i vapenöfningar, framlades äfven då alldeles samma synpunkter af lagutskottet, och därvid hette det, att dessa samvetsbetänkligheter böra tillgodoses, för så vidt det kan ske utan åsidosättande af statens intressen. Det är tvenne synpunkter, som här af lagutskottet framdragits, dels att det verkligen skall vara konstateradt, att det finnes sådana samvetsbetänkligheter, dels att icke ett större och viktigare intresse, ett statens intresse, skall åsidosättas genom att tillmötesgå dessa betänkligheter.</w:t>
        <w:br/>
        <w:br/>
        <w:t>Jag vill erinra om att Riksdagen uttalat sig i samma riktning genom sina beslut. 'Jag erinrar om de lättnader, som införts för värnpliktige, hvilka för samvetsbetänkligheters skull vägrat underkasta sig vapenöfningar. Jag erinrar vidare, hurusom vittneseden, för så vidt jag uppfattat saken rätt, suspenderats för dem, som genom anslutning till lära, som förbjuder ed, icke vilja aflägga sådan. Och jag erinrar slutligen därom, att äfven när det gäller prästernas samvetsfrihet man i förordningen om likbränning har tillgodosett ett dylikt kraf.</w:t>
        <w:br/>
        <w:br/>
        <w:t xml:space="preserve">Nu säga visserligen reservanterna, att detta sista är ett förhållande, som icke är likvärdigt med att prästerna skulle medgifvas samvetsfrihet med afseende å vigsel af frånskilda. Ja, herr talman, jag tror, att det är en känslosak i båda fallen. Och min erfarenhet af saken är den, att det kan vara en fullt ut lika betydande känslosak för dem det närmast gäller vid jordfästning af person, hvilkens lik skall brännas, som i fråga om en sådan vigsel. Jag fick — för att taga ett exempel ur min egen erfarenbet — för några år sedan från en vän, bosatt i en stad på västkusten, där man icke gärna vill verkställa jordfästning, när likbränning skall ske, ett telegram, där han sade, att hans </w:t>
      </w:r>
      <w:r>
        <w:rPr>
          <w:b/>
        </w:rPr>
        <w:t>hustru²</w:t>
      </w:r>
      <w:r>
        <w:rPr>
          <w:b w:val="0"/>
        </w:rPr>
        <w:t xml:space="preserve">, som låg på dödsbädden, bad mig gifva ett löfte att komma och jordfästa </w:t>
      </w:r>
      <w:r>
        <w:rPr>
          <w:b/>
        </w:rPr>
        <w:t>henne²</w:t>
      </w:r>
      <w:r>
        <w:rPr>
          <w:b w:val="0"/>
        </w:rPr>
        <w:t xml:space="preserve">, ty </w:t>
      </w:r>
      <w:r>
        <w:rPr>
          <w:b/>
        </w:rPr>
        <w:t>hon²</w:t>
      </w:r>
      <w:r>
        <w:rPr>
          <w:b w:val="0"/>
        </w:rPr>
        <w:t xml:space="preserve"> kände det på sitt dödsläger svårt, att möjligen en vägran i det afseendet skulle ifrågakomma. Hur bittert det sålunda än kan kännas för den det gäller, har lagstiftningen icke tvekat att därvidlag gå prästs betänkligheter till mötes, ehuru de där ha bra mycket mindre fog för sig. Jag erkänner, att det likaledes kan blifva en ganska pröfvande känslosak, äfven då det är fråga om äktenskaps ingående. I detta hänseende äro dessa förhållanden skäligen likvärdiga, men äfven däri att samma möjlighet står öppen med afseende å vigsel att vända sig till präst med annan uppfattning eller till civil ämbetsman.</w:t>
        <w:br/>
        <w:br/>
        <w:t>Föreligga nu verkligen dessa båda skäl, som af lagutskottet förut ha godtagits, när det gällt att gå till mötes samvetsbetänkligheter?</w:t>
        <w:br/>
        <w:br/>
        <w:t>Den, som läst hvad jag i min motion anfört af denna frågas historia, måste erkänna, att det varit ett starkt önskemål, som gång på gång har tagit sig uttryck i kyrkomötet såväl som här i Riksdagen, att sådana vigslar af frånskilda under de förhållanden, jag där påpekat, verkligen icke skulle kunna tvingas på en präst. Jag vill nu icke gifva mig in på frågan, om dessa samvetsbetänkligheter må anses vara styrkta såsom verkligt befogade, jag erinrar endast om hvad lagutskottet i det hänseendet säger, nämligen att det, som icke heller vill ingå i pröfning af den frågan, finner, att dessa betänkligheter verkligen äro styrkta. Jag vill också, herr talman, påpeka, hurusom det varit en ganska enstämmig uppfattning bland prästerna själfva. Visserligen har den ärade reservanten sagt, att det rådde olika åsikter i detta afseende inom prästerskapet. Men det har varit mycket liten divergens i denna fråga. Jag nar mottagit en massa bref från präster, som gifva det vid handen. Jag har fått öfver 500 sympatiuttalanden från präster, och många flera från lekmän. Ty det är icke prästen ensam det här gäller, utan lika mycket församlingen, som känt detta mången gång såsom något förargelseväckande och därför i detta stycke sympatiserar med sina präster.</w:t>
        <w:br/>
        <w:br/>
        <w:t>Sålunda tror jag, att man vågar säga, att det verkligen är ådagalagdt, att här föreligga samvetsbetänkligheter.</w:t>
        <w:br/>
        <w:br/>
        <w:t>Kan det då vara ett åsidosättande af statens intresse, om det medgifves, hvad man här satt i fråga? När det gäller värnpliktiges befrielse från att bära vapen, då gäller det likväl ett statsintresse, som är ganska allvarligt, nämligen statens värnkraft. När det gäller befrielse från vittneseden, då är det också fråga om ett statens intresse, som är allvarligt nog, nämligen upprätthållandet af rättsordningen. Här återigen kan icke något sådant intresse påvisas. Statsintresse är, att ett äktenskap kan ingås under laga former, det är alldeles afgjordt, men genom den lag om civiläktenskap, som här är föreslagen, finnes alltid därtill möjlighet. Hittills har — och jag ber herrarna lägga märke till den skillnad mellan förr och nu, som därvid kommer till synes — hittills har prästerskapet, om också mången gång med svidande hjärta, förrättat dessa vigslar i samhällsordningens intresse, därför att det icke funnits någon annan utväg för vederbörande kontrahenter att få ett laggiltigt äktenskap. Det har skett med mycken samvetsnöd, men nu inträder en ny situation, nu gifves det möjlighet att legalisera äfven sådana äktenskap, som ur ideell synpunkt icke kunna godtagas. Därmed har statsintresset blifvit tillgodosedt. Nu kräfver detta icke, att man skall pålägga kyrkans tjänare att förrätta en vigsel, som de icke utan förkränkelse af sitt samvete kunna utföra.</w:t>
        <w:br/>
        <w:br/>
        <w:t>Det har talats om att det härutinnan råder likhet med de borgerliga ämbetsmän, inför hvilka äktenskapen skulle afslutas, att äfven många af dem skulle känna det upprörande att stadfästa vissa äktenskap. Jag vill då peka på den olika uppgift, som likväl föreligger för prästen och för den civile ämbetsmannen. Jag tror icke, att man kan ställa dem i paritet med hvarandra i detta afseende. För den civile ämbetsmannen gäller det blott att stadfästa ett af staten erkändt äktenskap, han har att mottaga lysningsattesten och fråga kontrahenterna, huruvida de vilja taga hvarandra till äkta makar, men han har icke att uttala någon religiös välsignelse. Kyrkan och staten äro icke så nära med hvarandra förbundna, att man kan säga, att deras områden sammanfalla. Staten kommer naturligtvis alltid ett steg efteråt, när man ställer dess uppgift vid sidan af kyrkans ideala kraf. Kyrkan har att hålla idealens fana högt, att lägga djupa etiska synpunkter på sådana förhållanden i lifvet, som det här gäller, och det är icke staten nyttigt, om kyrkan tvingas att pruta af på sina ideala kraf. Jag tror, att staten bör vara kyrkan tacksam för att den håller krafvet på äktenskapets helgd så högt som möjligt.</w:t>
        <w:br/>
        <w:br/>
        <w:t>Den senaste ärade talaren sade, att han som vigselförrättare väl kan förrätta en sådan vigsel. Jag vill protestera mot namnet &gt; vigselförrättare», då det gäller borgerligt äktenskap. Om den ärade reservanten läser igenom detta lagförslag, skall han icke finna ordet »vigsel» användt på ett enda ställe i denna bemärkelse. Redan däri ligger en antydan om den betydande skillnaden mellan vigselförrättare och civil ämbetsman, inför hvilken äktenskap ingås.</w:t>
        <w:br/>
        <w:br/>
        <w:t>Jag anser sålunda, att statsintresset genom de nu föreslagna anordningarna till fullo blifvit tillgodosedt, utan att prästen ålägges att emot sitt samvete förrätta sådan vigsel, hvarom här är fråga, liksom jag anser konstateradt, att det här föreligger verklig samvetsnöd, som man bör taga hänsyn till.</w:t>
        <w:br/>
        <w:br/>
        <w:t>Det finnes emellertid, mina herrar, de som gå mycket längre, än jag velat göra i detta hänseende. År 1907, då frågan om samvetsbetänkligheter senast var före, var det en högt uppskattad lagstiftare i mycket framskjuten ställning och som intager en mycket bemärkt post inom domarekåren, som icke var nöjd med den motivering lagutskottet den gången gaf, utan i den af honom afgifna reservationen säger, att han icke kan förstå utskottets yttrande, »att öfvertygelse af ifrågavarande slag bör af staten respekteras, endast där sådant utan åsidosättande af statens intresse kan ske». Han tyckte, att detta var ganska hårdt, och uttalade som sin åsikt, att »det är ett statsintresse af första ordningen att icke tvinga någons samvete», samt att det sålunda måste vara &gt;en undantagslös och bjudande sats», att värnpliktige i det afsedda fallet skulle befrias från vapenöfningar, det vill säga, att samvetsbetänkligheterna skulle tillmötesgås. Man kunde ju tänka, att</w:t>
        <w:br/>
        <w:br/>
        <w:t>reservanten icke hade så moget genomtänkt saken vid ett hastigt nedkastande af reservationen, men i debatten här i kammaren stryker han med skärpa under denna sin uppfattning och säger: »Jag har icke kunnat finna annat, än att det måste vara en undantagslöst gällande och ovillkorligt bjudande grundsats att taga hänsyn till dessa samvetsbetänkligheter, där de verkligen framgå som styrkta».</w:t>
        <w:br/>
        <w:br/>
        <w:t>Ja, mina herrar, man må väl icke undra öfver att jag blef förvånad — och kanske den ärade reservanten i dag icke heller finner det egendomligt — då jag såg, att den reservant, som gjorde ett sådant uttalande år 1907, afgifvit den nu föreliggande reservationen ett år därefter, ty det är just samma reservant i båda fallen. Men i dag står han på den ena sidan om utskottet, då på den andra.</w:t>
        <w:br/>
        <w:br/>
        <w:t>Han har också dömt strängt öfver de präster, som kunna tänkas här vägra förrätta vigsel. Jag vågar däremot icke uttala någon sträng dom öfver honom, vare det långt ifrån mig, man kan ju byta åsikter från det ena året till det andra, såsom här synes hafva skett, isynnerhet när det gäller olika objekt, ena gången medborgaren, den värnpliktige, och andra gången ämbetsmannen, prästen! Jag vill som sagdt icke döma så strängt som han, då han säger, att i regel de ytligast begåfvade skulle blifva de strängaste domarna!</w:t>
        <w:br/>
        <w:br/>
        <w:t>Men i ett hänseende är det mig en glädje att alldeles kunna vara öfverens med reservanten, och det är, då han säger, att konflikten hädanefter ännu bättre än förut torde kunna till allas belåtenhet reda ut sig i praktiken. Det tror också jag, men däraf drager jag en alldeles motsatt slutsats. År det så, må man icke behöfva utsätta prästen för möjligheten att bli utsatt för en verklig förföljelse på grund af sin vägran. Jag erinrar härvid om en sak, som visst icke är obekant, nämligen den mycket uppseendeväckande Iversenska saken i Danmark. Där begagnade man sig af detta endast för att komma åt en misshaglig person. Ar det så, att man tror, att det hela reder ut sig, då har man mycket få skäl att icke låta den ifrågasatta bestämmelsen inflyta, ty då får den endast betydelse såsom en anvisning för vederbörande kontrahenter att icke kräfva vigsel. Och jag undrar, om herrarna skulle vilja, att vi finge upp denna sak som ett stridsämne i vårt land, på samma sätt som i Danmark, där hela landet rördes upp af denna fråga — Iversen fälldes i tvenne instanser, men befriades i Höjesteret — därigenom att den ene efter den andre blefve martyr för en sådan sak. Jag tror icke, att det vore lyckligt att slå in på den vägen.</w:t>
        <w:br/>
        <w:br/>
        <w:t>Den ärade talaren sade, att en ämbetsman hade frihet att afgå och lämna sitt ämbete, men att däremot kontrahenterna icke hade någon frihet i detta fall. Det förvånar mig högeligen, att man kan ha en sådan syn på saken. För mig ter den sig så,</w:t>
        <w:br/>
        <w:br/>
        <w:t xml:space="preserve">att kontrahenterna ha frihet att söka en präst med annan uppfattning, som vill viga dem, eller ock kunna de få sitt äktenskap lagfäst inför borgerlig myndighet. Det att prästen har frihet att afgå synes mig åter åtminstone i många fall liktydigt med att det står honom fritt att komma på bar backe med </w:t>
      </w:r>
      <w:r>
        <w:rPr>
          <w:b/>
        </w:rPr>
        <w:t>hustru²</w:t>
      </w:r>
      <w:r>
        <w:rPr>
          <w:b w:val="0"/>
        </w:rPr>
        <w:t xml:space="preserve"> och barn, därför att han velat följa sitt samvete. Kan man jämföra dessa båda saker, kan man anse den senares frihet rent af vara ställd öfver de andras? Jag tror icke för min del, att det är någon så stor svårighet att gå till borgmästaren för att få sitt äktenskap lagfäst. Jag för min del skulle icke betrakta det såsom alls svårt att gå till Stockholms borgmästare i ett sådant ärende, och jag tror, att det ur statens synpunkt är lika betydelsefullt, om det sker inför honom eller inför pastor primarius.</w:t>
        <w:br/>
        <w:br/>
        <w:t xml:space="preserve">Jag skall nu, då jag såsom motionär djärfves taga tiden i anspråk ännu en stund, gifva mig in på senare delen af den ärade talarens argumentation, som förefaller mig vara ganska egendomlig. Han har presterat en märkvärdig bibeltolkning. Den exeges, som från stockholmsbänken bjudits oss, är allt något underlig, det vågar jag säga. Han talade om att det skulle vara i strid mot den kristna religionens bud och grundsatser att döma öfver ett äktenskap af den art, hvarom nu är fråga. Ja, detta påstående är, som jag sade, ganska egendomligt. Skriften får icke tolkas så, som man emellanåt brukar tolka Svea rikes lag, d. v. s. utan tanke på dess anda och mening. Jag skulle om denna tolkning vilja använda det uttryck, som reservanten själf användt 1 reservationen, då han säger, att detta står för honom såsom »ett utslag, bland många, af den så ofta framträdande bokstafskristendomen». Han säger nämligen där, och hans uttalande här i dag var ju egentligen endast en utläggning däraf att det ifrågavarande krafvet står i strid med »kärleksbudet, hvilket uttryckts på många sätt och bland annat äfven med det bekanta ordet ”dömen icke'». Ja, mina herrar, nog är väl detta en mycket underlig mening. Kärleksbudet kräfver, att man icke dömer kärlekslöst. Men kärleksbudet kräfver också, mina herrar, att man dömer. Man får icke rycka löst ett ord på detta sätt och därpå grunda sin uppfattning. Kärleksbudet kräfver af fader och </w:t>
      </w:r>
      <w:r>
        <w:rPr>
          <w:b/>
        </w:rPr>
        <w:t>moder²</w:t>
      </w:r>
      <w:r>
        <w:rPr>
          <w:b w:val="0"/>
        </w:rPr>
        <w:t>, att de döma öfver sina barn och deras fel, till deras förbättring; det är rent af kärlekslöst att icke göra det. Kärleksbudet kräfver, att en domare dömer öfver förbrytelser, som falla under hans domvärjo, och kärleksbudet kräfver, att man — och i synnerhet den, som står på predikstolen och har fått till uppgift att utöfva prästerlig verksamhet — dömer öfver synden. Om man nu hänvisar till honom, som sade: »icke dömer jag dig» så får man icke glömma, att han tillade: »gå och synda icke härefter», d. v. s. bryt din brottsliga förbindelse! Döma skall man icke, allra minst kärlekslöst och hårdt, den som, liksom synderskan, är förkrossad öfver sin synd. Men om man uttalar en dom öfver</w:t>
        <w:br/>
        <w:br/>
        <w:t>den, som framhärdar och med trotsigt hufvud står kvar i hvad Guds ord kallar synd, den domen är kristlig. Jag vågar hänvisa till den mästare, hvars bud detta kärleksbud var. Han är icke någon vek, modernt human man, som står där med ett mildt evangelium utan sedligt allvar, utan han har också de allra starkaste, dömande ord. Han uttalar sitt ve, såsom ingen annan, öfver synden i världen. Han vred ihop ett gissel, och det var ingen leksak i hans hand. Hans dom öfver synden bragte honom också på korset. Vi böra se denna hans kraft, om hvilken jag vågar säga, att den är enastående i världen, för att förstå hans mildhet, se den ena sidan af hans personlighet lika väl som den andra. Och därför vågar jag också säga, att det är en underlig bibeltolkning reservanten kommit med, en tolkning, som jag sannerligen icke kan vara med på som kristen. Dömas skall det helt visst, sade jag sålunda, men det skall dömas i kärlek och icke kärlekslöst. a:</w:t>
        <w:br/>
        <w:br/>
        <w:t xml:space="preserve">Låt mig nu till slut visa herrarna ett sådant fall, där jag tänker mig en vigselvägran kunna förekomma, huru det kan te sig för den, som skall förrätta en sådan här vigsel. Jag vill taga ett exempel, som ligger mig själf ganska nära, och som jag därför väl känner till. Här viger en präst ett ungt par. Om några år kommer </w:t>
      </w:r>
      <w:r>
        <w:rPr>
          <w:b/>
        </w:rPr>
        <w:t>hustrun²</w:t>
      </w:r>
      <w:r>
        <w:rPr>
          <w:b w:val="0"/>
        </w:rPr>
        <w:t xml:space="preserve"> i detta äktenskap till prästen och säger: »Så och så är det, min man är mig otrogen». Och härför företer </w:t>
      </w:r>
      <w:r>
        <w:rPr>
          <w:b/>
        </w:rPr>
        <w:t>hon²</w:t>
      </w:r>
      <w:r>
        <w:rPr>
          <w:b w:val="0"/>
        </w:rPr>
        <w:t xml:space="preserve"> verkliga bevis. Hemmet blir sönderslitet. Prästens plikt är det då, mina herrar, att, när en sådan anmälan gjorts, söka komma till rätta med det yppade missförhållandet. Han försöker därför, han uttalar verkligen ett dömande ord öfver äktenskapsbrottet, han manar i kärlek och i allvar till ett återställande af friden i hemmet. Men det hjälper icke, det blir allt outhärdligare och outhärdligare för denna </w:t>
      </w:r>
      <w:r>
        <w:rPr>
          <w:b/>
        </w:rPr>
        <w:t>kvinna¹</w:t>
      </w:r>
      <w:r>
        <w:rPr>
          <w:b w:val="0"/>
        </w:rPr>
        <w:t xml:space="preserve">. Det är nog många fler än jag, som fått bevittna, hurudant en </w:t>
      </w:r>
      <w:r>
        <w:rPr>
          <w:b/>
        </w:rPr>
        <w:t>hustrus²</w:t>
      </w:r>
      <w:r>
        <w:rPr>
          <w:b w:val="0"/>
        </w:rPr>
        <w:t xml:space="preserve"> lidande kan vara — eller en mans, under motsvarande förhållanden. </w:t>
      </w:r>
      <w:r>
        <w:rPr>
          <w:b/>
        </w:rPr>
        <w:t>Hon²</w:t>
      </w:r>
      <w:r>
        <w:rPr>
          <w:b w:val="0"/>
        </w:rPr>
        <w:t xml:space="preserve"> drifves till förtviflan genom råhet och kärlekslöshet, och för att hugga af knuten ger </w:t>
      </w:r>
      <w:r>
        <w:rPr>
          <w:b/>
        </w:rPr>
        <w:t>hon²</w:t>
      </w:r>
      <w:r>
        <w:rPr>
          <w:b w:val="0"/>
        </w:rPr>
        <w:t xml:space="preserve"> sig själfvilligt för en kort tid i landsflykt — </w:t>
      </w:r>
      <w:r>
        <w:rPr>
          <w:b/>
        </w:rPr>
        <w:t>hon²</w:t>
      </w:r>
      <w:r>
        <w:rPr>
          <w:b w:val="0"/>
        </w:rPr>
        <w:t xml:space="preserve"> gör sig skyldig till hvad lagen kallar »egenvilligt öfvergifvande». Nå, hur blir det sedan? Jo, sedan blir det skillnad i äktenskapet, och efter lagens sätt att se är det </w:t>
      </w:r>
      <w:r>
        <w:rPr>
          <w:b/>
        </w:rPr>
        <w:t>hon²</w:t>
      </w:r>
      <w:r>
        <w:rPr>
          <w:b w:val="0"/>
        </w:rPr>
        <w:t xml:space="preserve">, som är den brottsliga. Den, som varit i tillfälle att se allt detta på nära håll, se det under ett förtroende, som icke får brytas, vid ämbetets förlust, för honom ter sig saken dock annorlunda. — Så kommer denne frånskilde man och vill tilltrotsa sig vigsel med den </w:t>
      </w:r>
      <w:r>
        <w:rPr>
          <w:b/>
        </w:rPr>
        <w:t>kvinna¹</w:t>
      </w:r>
      <w:r>
        <w:rPr>
          <w:b w:val="0"/>
        </w:rPr>
        <w:t xml:space="preserve">, för hvilkens skull han förskjutit sin </w:t>
      </w:r>
      <w:r>
        <w:rPr>
          <w:b/>
        </w:rPr>
        <w:t>hustru²</w:t>
      </w:r>
      <w:r>
        <w:rPr>
          <w:b w:val="0"/>
        </w:rPr>
        <w:t xml:space="preserve"> och med hvilken han lefvat i äktenskapsbrott. Enligt lagen är visserligen detta brott belagdt med straff och äktenskapet är lagligen otillåtet, men där ingen åklagare är, där faller heller ingen dom. Hur skall då den präst, som anmodas förrätta en dylik vigsel, känna detta? Jag ber herrarne att försöka sätta sig in i denna situation</w:t>
        <w:br/>
        <w:br/>
        <w:t>och pröfva, huruvida icke detta med skäl kan bli en samvetssak. Prästen i fråga har i åratal predikat det sjätte budet, och om någon dispens från detta har han ej talat. Han har talat med detta särskilda par, han känner till förhållandet, som kanske för öfrigt är kändt i hela församlingen. Nu skall han en vacker dag helt plötsligt slå om och säga: »ja, detta är ju godt och rätt, det här, det är alldeles riktigt.» Och han måste på nytt uttala de orden: »hvad Gud har förenat, skall människan icke åtskilja», och han måste om dem använda vigselformulärets ord »dessa Dina tjänare», o. s. v. »Nå, men man kan ju då ändra om vigselformuläret», heter det. Det hjälper inte saken. Men dessutom, skall man då för sådana här enstaka upprörande fall pruta af på äktenskapets etiska kraf? Det tror jag verkligen icke. Och hur skall detta taga sig ut i församlingen? Här i kammaren finnas nog många, som äro kyrkorådsledamöter och som fått vara med om sådana här saker många, många gånger. Jag vädjar då till dessa kammarledamöter och frågar, om det icke är sant, att sådant väcker förargelse i församlingen. Och att prästen tvingas att lysa vigselns helgd öfver en sådan förbindelse, som åstadkommit förargelse i församlingen, det väcker icke mindre förargelse än själfva förbindelsen gjort. Det drager ned äktenskapets helgd, och det drager ned äfven helgden i församlingslifvet, att prästen skall tvingas vara en i ordet och förkunnelsen, en annan i sin ämbetsgärning.</w:t>
        <w:br/>
        <w:br/>
        <w:t>Jag ber att få påpeka för herrarne, att samvetet hos en kristen människa icke endast är bundet vid en ärlig öfvertygelse, utan det är också bundet vid Guds ord, och att prästen aflagt ett heligt löfte, ett löfte att efter bästa förstånd och samvete förestå sitt ämbete »inför den lefvande Guden och med den stundande räkenskapsdagen inför ögonen&gt;, såsom själfva löftesformuläret lyder. Tro icke herrarna, att det verkligen — man må stå hur frigjord som helst — kan blifva en samvetssak att icke draga ned församlingens sedliga uppfattning, och att man icke kan t. ex. nöja sig med att till sådana här äktenskapskontrahenter säga: »Ni få taga ansvaret på eder själfva, jag bara förrättar min ämbetsgärning.»</w:t>
        <w:br/>
        <w:br/>
        <w:t>Jag har med dessa ord velat vidröra några synpunkter, som varit bestämmande för min motion, och jag vill ännu en gång upprepa, att det icke synes mig finnas något statsintresse, som kräfver, att prästen ålägges att mot sitt samvetes bud förrätta slika vigslar. Herr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