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1076</w:t>
      </w:r>
    </w:p>
    <w:p>
      <w:r>
        <w:rPr>
          <w:b/>
        </w:rPr>
        <w:t xml:space="preserve">Datum: </w:t>
      </w:r>
      <w:r>
        <w:t>1908-03-28</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Karl Staaff (Liberala samlingspartiet, man)</w:t>
      </w:r>
    </w:p>
    <w:p>
      <w:r>
        <w:rPr>
          <w:b w:val="0"/>
        </w:rPr>
        <w:t>Herr talman, mina herrar! Jag får uppriktigt säga, att jag i denna sak har tvekat och begrundat ganska mycket, innan jag kunnat fatta min slutliga ståndpunkt. Men efter mycken tvekan och mycket begrundande har jag kommit till en efter min öfvertygelse riktig uppfattning i denna sak, och jag skall nu försöka att framställa denna min uppfattning och angifva skälen för densamma.</w:t>
        <w:br/>
        <w:br/>
        <w:t>Då jag först tager i betraktande frågan om prästernas samvetsbetänkligheter och den samvetsnöd, som skulle kunna uppkomma på grund af vissa bibelställen, så framställer sig denna sak för mig helt annorlunda än den kanske gör för många här i kammaren. Min uppfattning är, att Mästarens egna ord i bibeln böra tolkas, icke efter bokstafven utan efter andan och i viss mån</w:t>
        <w:br/>
        <w:br/>
        <w:t xml:space="preserve">äfven med hänsyn till de tidsomständigheter, under hvilka de sades. Nu är det ju så, att de tidsförhållanden, under hvilka de anförda orden sades, utmärkte sig för en alldeles oerhörd löshet i de äktenskapliga förbindelserna i det land, där orden fälldes. Skilsmässa tillgick icke på det sätt, hvarpå den tillgår i den nyare tiden och i vårt land, nämligen efter myndigheternas pröfning och genom myndigheternas beslut, utan den tillgick på det enkla sättet, att mannen skilde sig från sin </w:t>
      </w:r>
      <w:r>
        <w:rPr>
          <w:b/>
        </w:rPr>
        <w:t>hustru²</w:t>
      </w:r>
      <w:r>
        <w:rPr>
          <w:b w:val="0"/>
        </w:rPr>
        <w:t xml:space="preserve"> och gaf </w:t>
      </w:r>
      <w:r>
        <w:rPr>
          <w:b/>
        </w:rPr>
        <w:t>henne²</w:t>
      </w:r>
      <w:r>
        <w:rPr>
          <w:b w:val="0"/>
        </w:rPr>
        <w:t xml:space="preserve"> någon slags laglig handling men utan någon myndighets bedömande. Jag menar, att man icke kan frånse, att dessa omständigheter kunna hafva inverkat på själfva yttrandenas form. Man får för öfrigt ej heller frånse, att de yttranden af Mästaren, som bibeln återgifver, ju hafva genomgått traditionen och att många af dem icke kunna sägas vara uti en absolut säker form fastställda, såsom de verkligen blifvit sagda.</w:t>
        <w:br/>
        <w:br/>
        <w:t xml:space="preserve">Jag vill således säga, att för mig framstå vissa prästers samvetsbetänkligheter icke såsom följd af en intelligent och högre uppfattning af bibeltolkningen, utan tvärtom såsom följd af en mindre intelligent, ehuru jag naturligtvis icke bestrider, att de kunna äga ett etiskt värde. Nu är det emellertid så, att, ifall man skulle medgifva samvetsfrihet blott då man själf kunde sätta sig in i och i någon mån gilla de samvetsbetänkligheter, som framträda hos vissa personer eller grupper, fruktar jag för att icke mycken samvetsfrihet skulle existera här i världen. Toleransen hvilar alldeles gifvet på den basis, att jag måste erkänna, att en annan människa, äfven om jag ingalunda kan gilla eller ens fullt sätta mig in i </w:t>
      </w:r>
      <w:r>
        <w:rPr>
          <w:b/>
        </w:rPr>
        <w:t>hennes²</w:t>
      </w:r>
      <w:r>
        <w:rPr>
          <w:b w:val="0"/>
        </w:rPr>
        <w:t xml:space="preserve"> uppfattning, likväl kan hafva rätt att med denna sin uppfattning stå för sig och slippa att tryckas in under något främmande ok. Jag står också för min del med själ och hjärta på den åsikten, att samvetsfrihet för medborgare är ett stort mål, som staten bör i möjligaste måtto eftersträfva. Men jag kan icke gå så långt, att den enskilda samvetsfriheten skulle vara ett absolut mått och rättesnöre för huru staten bör inrätta sig. Det gäller sålunda i hvarje sådant fall, då ett kraf på samvetsfrihet framställes, att undersöka, om vi kunna ur andra synpunkter, om vi kunna ur statens synpunkt och ur dess omvårdnad i öfrigt om sina samhällsmedlemmar godkänna det eller icke. Jag tror, att saken i detta fall ligger så, att man icke kan och bör gifva efter för detta kraf, och jag skall redogöra för skälen därtill.</w:t>
        <w:br/>
        <w:br/>
        <w:t>Det är för det första gifvet, att det är ett statsintresse, att såsom hittills det skall uti jämförelsevis små distrikt finnas en vigselförrättare, så att kontrahenterna hafva tillfälle att erhålla vigsel, när de önska. Det är ju också gifvet, att i många delar af vårt land kommer äfven för de personer, som höra till detta föreslagna undantag, sådant tillfälle att finnas, ifall undantaget skulle blifva lag. Men uti de mindre bebodda trakterna i vårt land, där kommunikationerna äro ganska svåra, fruktar jag för</w:t>
        <w:br/>
        <w:br/>
        <w:t>att det ovillkorligen kan komma att inträffa, att sådana kontrahenter, hvarom här är fråga och hvilka mötas af ett afvisande från prästens sida, icke kunna på långliga tider komma att erhålla någon vigsel. Följden häraf är väl lätt att inse, nämligen att staten själf genom sitt medgifvande i detta fall indirekt kommer att uppmuntra till sammanflyttningar och lösliga eller åtminstone olegaliserade förbindelser, hvilket icke lärer kunna vara något önskvärdt. Och det lärer icke vara obefogadt, om staten af sina ämbetsmän begär, att de icke genom sitt kraf på samvetsfrihet fordra, att staten skall åsidosätta sitt kraf på borgerlig ordning. Jag kan ej heller förbise, att denna samvetsfrihet skulle gifvas på det sättet, att den efter subjektivt godtycke hos prästerna kunde transformeras till en utöfning af kärlekslöshet mot människor, som icke hafva något annat fel än att de varit olyckliga i sitt föregående äktenskap.</w:t>
        <w:br/>
        <w:br/>
        <w:t xml:space="preserve">Den talare, som för en stund sedan hade ordet, framställde ett exempel. Om en man på allt sätt betett sig illa mot sin bustru, så att denna </w:t>
      </w:r>
      <w:r>
        <w:rPr>
          <w:b/>
        </w:rPr>
        <w:t>hustru²</w:t>
      </w:r>
      <w:r>
        <w:rPr>
          <w:b w:val="0"/>
        </w:rPr>
        <w:t xml:space="preserve"> funnit sig tvungen att efter många strider och slitningar begära skilsmässa, hvilket </w:t>
      </w:r>
      <w:r>
        <w:rPr>
          <w:b/>
        </w:rPr>
        <w:t>hon²</w:t>
      </w:r>
      <w:r>
        <w:rPr>
          <w:b w:val="0"/>
        </w:rPr>
        <w:t xml:space="preserve"> gör på det sättet, att </w:t>
      </w:r>
      <w:r>
        <w:rPr>
          <w:b/>
        </w:rPr>
        <w:t>hon²</w:t>
      </w:r>
      <w:r>
        <w:rPr>
          <w:b w:val="0"/>
        </w:rPr>
        <w:t xml:space="preserve"> far utomlands, s. k. egenvilligt öfvergifvande, och mannen sedermera kommer och begär att få vigas måhända med den, med hvilken han gjort äktenskapsbrott, så menade denne talare, att då måste det vara något oerhördt ovärdigt, att prästen skulle vara skyldig att förrätta sådan vigsel. Men jag vill bedja honom att äfven taga den andra sidan i betraktande. Detta föreslagna undantag bemyndigar prästen att vägra äfven den stackars misshandlade makan vigsel; det skola vi icke glömma, och det är gifvet, att en åsikt, som hvilar på en bestämd dogmatisk uppfattning, nog icke har så lätt, som herr Pehrsson i Österby menar, att forma sig efter det ena eller andra mänskliga förhållandet, ty då vore den icke dogmatisk.</w:t>
        <w:br/>
        <w:br/>
        <w:t>Det må icke förtyckas mig, om jag gentemot herr Pehrssons talande om huru kyrkan måste döma, drifven af själfva kärleksbudet, tillåter mig att upprepa några oförgätliga skaldeord, som också äro skrifna af en präst inom den svenska kyrkan. De lyda så:</w:t>
        <w:br/>
        <w:br/>
        <w:t>»Döm ej strax den vilseförda, stolte broder med förakt,</w:t>
        <w:br/>
        <w:br/>
        <w:t>icke vägde du den börda</w:t>
        <w:br/>
        <w:br/>
        <w:t>ödet på hans skuldra lagt, icke talde du de strider,</w:t>
        <w:br/>
        <w:br/>
        <w:t>dem han stridde för sin dygd, icke vet du, hvad han lider af sin ånger, af sin blygd.»</w:t>
        <w:br/>
        <w:br/>
        <w:t>Jag vet visserligen icke, hvilken kredit den gudaingifne skald, som har skrifvit dessa rader, numera har inom den svenska</w:t>
        <w:br/>
        <w:br/>
        <w:t>kyrkan. Jag fruktar för, att den icke är stor, och jag vet knappast, om de ord, som äro skrifna på Östrabo, längre läsas i Österby. Men jag tror, att de som mena, att det är under sådana lärares hägn, som det svenska folket har godt af att låta sin andliga utveckling bestämmas, skola förstå, att just i detta sammanhang Tegnérs ord må bafva sin plats.</w:t>
        <w:br/>
        <w:br/>
        <w:t>Det lär ej heller vara så alldeles visst, att icke en frånskild make, som kommer och begär vigsel af en präst, men afvisas af honom på grund af hans tolkning af bibelordet, kan äga ett hundra gånger frommare hjärta, än hvad denne prästman äger.</w:t>
        <w:br/>
        <w:br/>
        <w:t>Men vidare, mina herrar, hvilka konsekvenser måste detta undantag medföra? Om herrarna läst uppmärksamt hvad utskottets utlåtande innehåller, så kunna herrarna genast se en konsekvens. I statsrådsprotokollet står anfördt: »Sedan 1883 års kyrkomöte i underdånig skrifvelse anhållit om grundlagsenliga åtgärders vidtagande för vinnande af sådan lagbestämmelse, att äktenskap, som person, hvilken själfvilligt och utan att vara föranledd af horsbrott å den andra partens sida vållat ett föregående äktenskaps upplösning, önskade ingå under förra kontrahentents lifstid, icke måtte såsom kristligt äkta förbund utlysas eller med kyrklig vigsel stadfästas» etc.</w:t>
        <w:br/>
        <w:br/>
        <w:t>Där hafva vi den första konsekvensen. Så snart statsmakterna gått in på detta undantag, så kommer det — och detta med logisk nödvändighet, det erkänner jag — att från prästernas sida sägas: skola vi behöfva som kristligt äkta förbund utlysa och lysa Guds välsignelse öfver ett tilltänkt äktenskap mellan tvenne personer, som statsmakterna själtva erkänt, att vi icke skola vara skyldiga att viga? Och då blir det således så, att inför församlingen skola två slags lysningar utfärdas, ett för de äktenskap, som anses heliga af kyrkan, och ett för de äktenskap, som anses oheliga af kyrkan, men som anses berättigade af staten, hvarigenom således prästerna från predikostolen komme att förklara statens lagar oheliga. Det är den första konsekvensen. Men herrarva kunna vara vissa om att den förändring, som man här föreslår oss, är så stor, så ödesdiger i fråga om statens och kyrkans förhållande till hvarandra, att vi på långt när icke kunna öfverskåda, hvad däraf skulle följa. Jag instämmer till fullo med herr justitieministern, då han sade oss, att hittills har den principen rådt här i landet, att statens ämbetsmän äro skyldiga att lyda statens lagar och att de icke få begära några undantag på grund af sin subjektiva uppfattning. Och detta gäller ovillkorligen på det civila området. Jag frågar i förbigående: Om vi tänka oss, att, såsom så ofta är fallet, en domare i våra dagar, som är en absolut motståndare till dödsstraffets tillämpande, ställes inför den nödvändigheten att efter lag och efter sin domareed döma till dödsstraff, tro icke herrarne då, att hans samvetsnöd är svårare än dessa prästmäns, som det här talas om? Om den</w:t>
        <w:br/>
        <w:br/>
        <w:t>subjektiva friheten nu skall medgifvas prästerna i detta fall, hur oändligt svårt blir det ej att inskränka den just till hvad här är fråga oml Det heter principiis obsta, och här måste det gälla framtör allt att »stå emot begynnelserna», nämligen till farliga afsteg från god borgerlig ordning, och stå fast vid rätta principer. Dessa principer äro viktiga, nämligen att staten skall ha hand öfver hvad kyrkans ämbetsmän skola göra likaväl som öfver hvad de civila ämbetsmännen och domarne skola göra.</w:t>
        <w:br/>
        <w:br/>
        <w:t>Här har talats om de värnpliktiges samvetsnöd, och om att det för personer — och jag hör till dem — som ömmat för sådana värnpliktige, skulle vara en motsägelse att nu icke också medgifva denna äskade frihet för prästerna. Ja, mina herrar, jag är kanske ej alldeles obenägen att för min del tänka på en sådan utväg jämväl för prästerna, som man tänkt sig i fråga om de värnpliktige. Observera, att det skulle försiggå en undersökning om hvarje individs uppriktighet, då han begär att blifva befriad från sin värnplikt och få på annat sätt fullgöra den. Vilja prästerna verkligen komma in med vittnesgilla mäns intyg, som bekräfta att det är samvetsnöd och icke är så — som jag befarar, att det kan på vissa håll bli — att kyrkans öfverste män sammanslutit sig och påtryckt sin prägel på de underordnade, så att det ej är en rätt samvetsnöd utan i själfva verket mera en befordringsnöd, som ligger under, ja, då skulle det kunna vara en annan sak. Vill man ställa det så, att hvarje särskild präst, som förmenar sig lida af sådana betänkligheter, får komma till Kungl. Maj:t och framlägga sina betänkligheter och anföra den utredning han kan göra, och Kungl. Maj:t då finner, att i den trakten prästen tillhör det ej är några betänkligheter att medge det, därför att det finnes vigselförrättare på nära håll, då skulle det kunna vara en annan sak. Då skulle man kunna medgifva, att det i sådana särskilda fall ej funnes några af de farliga konsekvenser, som jag här antydt.</w:t>
        <w:br/>
        <w:br/>
        <w:t>Denna fråga — sädant som nu det föreslagna undantaget lyder — är en mycket mycket större fråga, än hvad många här anse. Det är en fråga, huruvida den svenska kyrkan skall vara en statsoch folkkyrka i luthersk mening eller, om den skall vara en prästkyrka med egen makt och egna bud i en mening, som närmar sig den katolska. — Jag för min anser, att statskyrkan skall vara och förbli det förra; jag anser, att den skall utveckla sig under statens vård och lyda statens lagar.</w:t>
        <w:br/>
        <w:br/>
        <w:t>Jag anhåller således, herr talman, att få yrka bifall till den föreslagna paragrafen med den uteslutning, som af reservanten, herr Lindhagen, påyrkats.</w:t>
      </w:r>
    </w:p>
    <w:p>
      <w:pPr>
        <w:pStyle w:val="Heading2"/>
      </w:pPr>
      <w:r>
        <w:t>2. Värner Ryden (Socialdemokraterna, man)</w:t>
      </w:r>
    </w:p>
    <w:p>
      <w:r>
        <w:rPr>
          <w:b w:val="0"/>
        </w:rPr>
        <w:t>Jag skulle ej kommit att yttra mig i denna fråga, därest jag ej nyss fått bevittna ett anförande, som i fariséisk tolkning eller rättare förtolkning af sanningen var af den art, att det fyllde mig med harm. Då jag begärt ordet här, skall jag först ägna några ord åt den principiella och den praktiska sidan af denna sak. Den principiella sidan af saken är för mig afgjord genom ett uttalande, som förekom vid 1903 års kyrkomöte af dess kyrkolagsutskott, i hvilket framhölls, att det var principiellt oriktigt, att det äktenskap, staten förklarat lagligt och tillåtet, skulle af enskilda prästmän förklaras som mindervärdigt. Beträffande den praktiska sidan af denna sak, tillåter jag mig göra det antagandet, att det ej skall möta några svårigheter för »samvetsömma»&gt; präster att genom en enkel vädjan till kontrahenterna få dem att vända sig till en annan vigselförrättare. Han behöfver ju i detta fallet oftast blott vända sig till en prästerlig kamrat för att få denne att förrätta vigseln.</w:t>
        <w:br/>
        <w:br/>
        <w:t>Jag har ju emellertid helt naturligt ej kunnat ställa mig okänslig inför de rop, som här höjts på samvetsfrihet. För min del hyser jag en mycket stark känsla för dessa kraf, hvarhelst de framträda. Jag skall uppriktigt bekänna, att jag i första ögonblicket kände mig tilltalad af denna motion, då jag trodde den peka på ett samvetsfrihetens kraf. Men under den diskussion om denna sak, som förekommit, — och jag vill medge det, ej minst under den debatt, som i Första Kammaren fördes öfver denna fråga, i hvilken yttrade sig framför allt två inom svenska kyrkan mycket framskjutna män — har det stått för mig allt klarare, att det innerst ej var en fråga om samvetsfrihet utan en fråga om makt.</w:t>
        <w:br/>
        <w:br/>
        <w:t>För min del vill jag uttala ett par sanningens ord till den prästman, som nyss från denna plats yttrade sig. Herr Pehrsson i Österby skall tvifvelsutan, om han har historiskt sinne, nödgas ge mig rätt, när jag säger, att i hela historien finns ingen makt, som så trampat samvetsfriheten under fötterna, som kyrkan och prästerna. De ha fyllt fängelserna med samvetsfrihetens förkämpar, pinat dem, bränt dem och strött deras aska för vindarna, därför att de ej underkastat sig det våldförande på den fria tanken, kyrkan velat ålägga dem. Med dessa historiska vittnesbörd för ögonen kan jag ej finna de toner fullt äkta, som komma från prästernas sida med begäran om samvetsfrihet.</w:t>
        <w:br/>
        <w:br/>
        <w:t>Det är för öfrigt, mina herrar, en stor skillnad mellan den ställning, prästen har i detta fall som statens ämbetsman, och den, som den enskilde medborgaren har. Den senare har ej genom fritt val ställts i lydnadsförhållande till vissa landets lagar, men</w:t>
        <w:br/>
        <w:br/>
        <w:t>prästen har frivilligt valt sin ställning som ämbetsman med full vetskap om de plikter, som han därmed påtager sig. -</w:t>
        <w:br/>
        <w:br/>
        <w:t xml:space="preserve">Jag skall till slut be att få uppta herr Pehrssons i Österby exempel om Mästaren och äktenskapsbryterskan. För mig står det klart, att hans tolkning är stridande åtminstone mot etiska, men som jag tror äfven mot kristliga bud och kristlig sanning. Situationen är följande. Omkring Mästaren står en grupp fariséer, som vill komma en stackars olycklig </w:t>
      </w:r>
      <w:r>
        <w:rPr>
          <w:b/>
        </w:rPr>
        <w:t>kvinna¹</w:t>
      </w:r>
      <w:r>
        <w:rPr>
          <w:b w:val="0"/>
        </w:rPr>
        <w:t xml:space="preserve"> till lifs. Mästaren afvänder detta, som vi alla känna, och när den fariséiska gruppen af ren skamkänsla anser sig ej kunna döma den olyckliga, är det som Mästaren uttalar de genom alla tider, som jag hoppas, sant mänskliga orden: »Ej heller dömer jag dig». Såvidt jag kan finna, är det i detta fall vi, som vilja förverkliga kärlekens bud genom att motsätta oss, att någon gifves rätt att likt fariséerna döma den olyckliga.</w:t>
        <w:br/>
        <w:br/>
        <w:t>Jag skall sluta mitt anförande, herr talman, utan att framställa något yrkande. Jag gör icke något sådant af det skälet, att jag är rädd för att denna lag skall komma att falla, om kamrarna fatta olika beslut. Det är möjligt, att ej någon sammanjämkning kan äga rum, och då blir af denna lagstiftning intet. Hur bittert man än känner det, om här i dag skall lämnas en hand åt den rena maktlystnaden från prästernas sida, ställer jag dock högre den vinsten, att på detta sätt beredes samvetsömma medborgare tillfälle att erhålla borgerligt äktenskap under förhållanden, som nu ej finnas. Jag har, herr talman, personlig erfarenhet af hvilka stora svårigheter och uppoffringar, som resa sig, då en människa, som tillhör statskyrkan till följd af tvång, och som ej vill blifva beröfvad medborgerliga rättigheter, önskar genom en borgerlig akt afsluta sitt äktenskap. Då jag är rädd, att man här kan komma att kasta ut barnet med badvattnet, vill jag, herr talman, för det närvarande ej framställa något yrkande.</w:t>
      </w:r>
    </w:p>
    <w:p>
      <w:pPr>
        <w:pStyle w:val="Heading2"/>
      </w:pPr>
      <w:r>
        <w:t>3. Robert Johansson Dahr (Liberala samlingspartiet, man)</w:t>
      </w:r>
    </w:p>
    <w:p>
      <w:r>
        <w:rPr>
          <w:b w:val="0"/>
        </w:rPr>
        <w:t>Herr talman! Jag vill börja med att ge till känna, att jag begärt ordet i anledning af herr Pehrssons i Österby anförande, emedan jag fann mig föranlåten att, ehuru jag instämt i hans motion, likväl taga afstånd från det speciellt prästerliga resonemang, som här af honom förts. Jag kan icke följa honom i detta. Men å andra sidan måste jag ock säga, att jag icke heller kunnat följa den speciellt juridiska tankegång, som af andra talare från denna plats i förevarande fråga häfdats. Det är också påfallande, att ehuru herr Lindhagen och herr Staaff med så stort eftertryck uppträdt mot den bestämmelse, hvarom här närmast är tal, de dock på samma gång nödgats säga, den ene att han endast med stor tvekan intager sin negativa ståndpunkt, och den andra att det kostat honom långt öfvervägande, innan han kunnat fatta sin position i ärendet. Den siste ärade talaren slutade med att icke göra något yrkande i</w:t>
        <w:br/>
        <w:br/>
        <w:t>frågan. Detta allt visar, mina herrar, att det finns starka skäl äfven på den andra sidan, fastän dessa skäl icke i nyssnämnda talares anförande kommit till synes. Jag skall be att få göra mig till tolk för dessa skäl, de praktiska skälen i frågan, som dock för oss enligt min uppfattning böra vara afgörande.</w:t>
        <w:br/>
        <w:br/>
        <w:t>Det är nämligen så, att genom det lagförslag, som här föreligger, tages ett stort steg framåt på äktenskapslagstiftningens område. Hittills har det varit så, att kontrahenter, som tillhört statskyrkan, icke kunnat ingå äktenskap utan stort besvär, om de icke velat underkasta sig kyrklig vigsel. Den föreliggande lagstiftningen bryter mot denna enligt min uppfattning ohållbara lagstiftning, i det att den gör civiläktenskapet, den civila formen för äktenskaps ingående, till den — såsom herr justitieministern yttrade — principala och normala, för alla tillgängliga och användbara formen för äktenskaps ingående, och detta, mina herrar, är ett så stort framsteg, att vi icke böra taga på oss ansvaret att förkasta ett lagförslag med ett sådant innehåll. Jag är för min del anhängare af det obligatoriska civiläktenskapet, och jag skulle önska. att man nu tagit steget fullt ut och infört detta. Då emellertid en sådan åtgärd icke för närvarande torde kunna genomföras, anser jag, att man åtminstone bör taga det steg, som nu föreslås och som gör den civila formen för äktenskaps ingående för alla tillgänglig och för alla användbar.</w:t>
        <w:br/>
        <w:br/>
        <w:t>Från min synpunkt ter sig den kyrkliga vigseln såsom en form för äktenskapets ingående, hvilken — utom det som är konstitutivt i en dylik akt och som är angifvet i den paragraf af lagförslaget, där det heter, att giftermålsförrättaren skall affordra kontrahenterna deras frivilliga ja och samtycke, hvarefter han förklarat äktenskapet ingånget — innehåller åtskilligt annat såsom kyrkliga ceremonier och böner. Jag menar, att från borgerlig synpunkt, från samhällets sida böra icke uppställas kraf på någonting annat än det, som är för giftermålsakten konstitutivt och nödvändigt. Vilja sedan kontrahenterna ha något annat och mera än detta, så bör det vara en fullt frivillig sak. Det kan ju hända, att vissa kontrahenter vilja ha ett litet vackert tal också vid akten, men icke bör staten ålägga giftermålsförrättaren att hålla ett sådant tal: det bör vara kontrahenternas och vigselförrättarens ensak. På sådant sätt betraktar jag den kyrkliga vigseln. Den ipnehåller vissa moment, som böra finnas för att äktenskapet skall vara giltigt från samhällets synpunkt, men det som är därutöfver bör icke vara beroende på något tvång. Från denna synpunkt böra vid en fortsatt utveckling de kyrkliga momenten i giftermålsakten samtliga bli fullkomligt frivilliga både från kontrahenternas och vigselförrättarens synpunkt, och jag kan icke neka till, att</w:t>
        <w:br/>
        <w:br/>
        <w:t>vid en sådan uppfattning ter sig herr Pehrssons i Österby motion</w:t>
        <w:br/>
        <w:br/>
        <w:t>som ett steg i den rätta riktningen, ty den utvidgar frivillighetens område.</w:t>
        <w:br/>
        <w:br/>
        <w:t>Jag vill icke underkänna de skäl, som herrar Lindhagen och Staaff anfört. Dessa skäl hafva sin betydelse från rent juridisk synpunkt, men de ha själfva erkänt, att det är ett obetydligt fåtal fall, som träffas af bestämmelsen i fråga, och då menar jag, att man godt kan se bort från dessa fall och fästa sig vid det stora, som dock vinnes genom detta lagförslag, nämligen att vi få den civila formen för äktenskaps ingående införd i landet och betecknad som den normala och principala. Om bristfälligheter skulle vidlåda denna lag i öfrigt, så kan man tillåta sig att se bort från dem för det, som i hufvudsak vinnes. Med hänsyn därtill och med hänsyn till den fara vi löpa att icke få någonting, ifall vi icke godkänna lagförslaget, sådant det föreligger, skall jag tillåta mig, herr talman, att förorda bifall till utskottets förslag.</w:t>
      </w:r>
    </w:p>
    <w:p>
      <w:pPr>
        <w:pStyle w:val="Heading2"/>
      </w:pPr>
      <w:r>
        <w:t>4. Georg Kronlund (–, man)</w:t>
      </w:r>
    </w:p>
    <w:p>
      <w:r>
        <w:rPr>
          <w:b w:val="0"/>
        </w:rPr>
        <w:t>Efter hvad som yttrats här af föregående talare, skall jag icke upptaga tiden länge utan ber endast att få säga några ord.</w:t>
        <w:br/>
        <w:br/>
        <w:t>Jag ber då först att få ta fasta på hvad den föregående talaren yttrade därom, att här icke förekomma starka skäl mot denna lagändring, och han sade särskildt, att från juridisk synpunkt icke anförts några viktiga skäl. Jag har tvärtom förgäfves i lagutskottets utlåtande funnit några starka skäl, som talat för bifall till motionen. Jag har af hvad både herr Pehrsson i Österby och den siste talaren yttrat fått klart för mig, att statskyrkans prästerskap vill vindicera åt sig den omstridda rättigheten mot att gå med på civiläktenskapet. Det är en eftergift åt prästerna, mina herrar, som man alls icke kan bagatellisera. Lagstiftaren reser en dualism mellan statens lag och kyrkans lag. Lagstiftaren medger å ena sidan den svenske medborgaren att välja mellan civiläktenskap och kyrklig vigsel, och å andra sidan tillåter lagstiftaren prästen att i vissa fall undandraga den svenske medborgaren denna rätt, när han med stöd af den borgerliga lagen kommer och fordrar detta. Prästmannen äger rätt att säga till två kontrahenter, som komma till honom och begära få kyrklig vigsel: nej, ert tilltänkta äktenskap är en förargelse för kyrkan, vi vilja och kunna icke gifva er kyrkans välsignelse. Han äger denna rätt utan att dessa kontrahenter kunna opponera sig mot detta domfällande, utan att de kunna få dess motivering granskad och, om den möjligen befinnes oriktig, upphäfd. Då säger den förste talaren: de få gå till en annan präst. Ja, mina herrar, det är sant. Men är det icke en rättskränkning, som tillfogas kontrahenterna, när de på grund af gällande lag komma för att få sin rätt, att prästmannen kan säga till dem: jag anser detta äktenskap vara ett brott -— när det ur den gällande borgerliga lagens synpunkt karakteriseras som lagligt äktenskap?</w:t>
        <w:br/>
        <w:br/>
        <w:t>Herr Pehrsson i Österby säger vidare, att, om nu denna</w:t>
        <w:br/>
        <w:br/>
        <w:t xml:space="preserve">kyrkas tjänare finner sådan samvetsnöd förekomma, så att han icke kan förrätta denna vigsel, han tvingas att taga afsked, och han och hans barn komma på bar backe. Jag vill då säga, att prästmannen, när han inviges till ämbetet, bör ha fullt klart för sig sina ämbetsplikter; kan han icke med godt samvete fylla dem, så får han välja en annan bana. För resten är det i detta särskilda fall, som herr Pehrsson i Österby åberopat, dock en stor öfverdrift, när man säger, att prästen skulle nödgas taga afsked och med barn och </w:t>
      </w:r>
      <w:r>
        <w:rPr>
          <w:b/>
        </w:rPr>
        <w:t>hustru²</w:t>
      </w:r>
      <w:r>
        <w:rPr>
          <w:b w:val="0"/>
        </w:rPr>
        <w:t xml:space="preserve"> komma på bar backe. Han har dock den enkla utvägen att begära tjänstledighet på en dag från sitt ämbete för att låta en annan präst, som icke finner sig hindrad af samvetsbetänkligheter, verkställa denna vigsel.</w:t>
        <w:br/>
        <w:br/>
        <w:t>Det är vidare en annan sak, som också är berörd af föregående talare. Lagstiftaren fastslår och framhåller, att det finns två slag af samvetsfrihet och två slag af samvetsömhet. Det ena slaget gäller för kyrkans tjänare och det andra gäller för andra människor. Man kan tänka sig, som herr Staaff redan påpekat, att när en civil ämbetsman skulle fullborda borgerlig vigsel, han hade lika stora betänkligheter som prästen, och att han också åberopade samma skäl därför som prästen. Likaväl kan en ämbetsman i andra fall finna sig förhindrad att fullgöra sin plikt. Hvilka konsekvenser blefve det icke, om dessa statstjänare, dessa statsämbetsmän, skulle under åberopande af samvetsbetänkligheter och samvetsömhet kunna undandraga sig sin plikt! Det blefve anarki och ingenting annat. Kyrkans tjänare vilja nog icke gå med på att fullfölja dessa konsekvenser. Det är och förblir enligt min uppfattning en bokstafskristendom, som går igenom detta. Man kan icke, som herr Pehrsson i Österby sökt göra, förringa de skäl, som herr Staaff anfört. Kärlek, förlåtelse och fördragsamhet bilda grundvalen för vår kyrka och dess handlingssätt, och jag letar efter uttryck för detta i de fordringar, som herr Pehrsson i Österby uppställt. Jag är icke någon beundrare af den svenska statskyrkan i dess nuvarande form med dess bokstafskristendom och dess förstelnade ritualer, dogmer och bekännelseskrifter, och jag vill icke under några omständigheter vara med om en eftergift, som kan se ut som ett godkännande af denna bokstafskristendom och intolerans, som djupast sedt ligger i omstridda förslaget. Jag yrkar därför bifall till herr Lindhagens med flere reservation.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