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105</w:t>
      </w:r>
    </w:p>
    <w:p>
      <w:r>
        <w:rPr>
          <w:b/>
        </w:rPr>
        <w:t xml:space="preserve">Datum: </w:t>
      </w:r>
      <w:r>
        <w:t>1909-02-16</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Jag skall icke göra något yrkande i motsats till lagutskottets hemställan. Men jag anser mig skyldig att, då det här föreliggande ärendet har en mycket djupgående och vidtomfattande betydelse, peka något på innebörden 1 det förslag, som här föreligger.</w:t>
        <w:br/>
        <w:br/>
        <w:t>Herr Ekmans motion berör en mängd frågor af ganska ömtålig natur, frågor, som både kunna och böra diskuteras och hvilka erfordra en mycket grundlig utredning. Emellertid skall jag nu icke inlåta mig på någon sådan diskussion. Jag vill gifva ett erkännande åt herr Ekmans motion. Den skiljer sig på ett ganska fördelaktigt sätt från motioner, som under föregående tider framkommit med samma slutsyfte, ty herr Ekman inskränker sig icke till, om jag så får säga, endast den negativa sidan af saken, utan hans motion visar också ett intresse för positiva åtgärder för det kyrkliga lifvets främjande.</w:t>
        <w:br/>
        <w:br/>
        <w:t>Om nu, som jag antager, Riksdagen bifaller lagutskottets förslag, hvad ligger däri? Ett sådant bifall är en milstolpe, som å</w:t>
        <w:br/>
        <w:br/>
        <w:t>ena sidan angifver, huru lång väg vi hafva tillryggalagt, och å Om vidgad andra sidan anvisar, åt hvilket håll vägen nu går. rätt för Huru långt hafva vi hunnit genom ett bifall till utskottets medlem vat hemställan? Genom 1873 års dissenterlag angafs, att svenska fol- Jijpkan att ket icke längre kunde med full rätt kallas ett lutherskt folk. Med aäruwr utträda bifall till hvad här nu är föreslaget angifves, som herr Ekman ut- = mm trycker det, att man icke längre kan i full mening kalla det svenska = (Forts.) folket ett kristet folk. Bifall till betänkandet angifver rätt till fullständig religionslöshet för svenska medborgare. Nå, är det nu en verklighet, att det finnes ett stort antal svenska medborgare, som äro religionslösa, kan ju icke vara så mycket att säga om, att det också får sitt uttryck i svensk lagstiftning. Och om den här föreslagna lagstiftningen endast afsåge att gifva uttryck åt ett verklighetsförhållande ibland oss, vore det visst att beklaga, att ställningen är sådan. Men den förordade lagstiftningen går längre eller åtminstone kan mycket lätt få längre gående resultat, ty den kommer att beröra en kategori människor, om hvilka man icke kan säga att de äro religionslösa, och på hvilka, såvidt jag kan se, man i betänkandet ej tänkt. Det är barnen till dessa, som skola utgå utan att på något sätt därefter tillhöra något religiöst samfund. Dessa barn äro icke religionslösa i här antydd mening, men de blifva det lätt genom en sådan lagstiftning, som här föreslås. Detta läser jag på milstolpen på den sidan, den som visar, huru långt vi hafva gått, och på den andra sidan, som visar vägen framåt, där har herr Ekman med all rätt läst, att förslaget innebär en väsentlig förändring i förhållandet mellan svenska staten och svenska kyrkan, en upplösning af det samband, som hittills alltjämt funnits. Nå, förhållandena kunna kanske bli sådana, att det föreslagna är nödvändigt eller åtminstone i allt fall väl motiveradt; men jag tror icke, att man skall vara blind för eller tillsluta ögonen för hvad en upplösning af det sambandet innebär, ty det skall ingen människa med rättfärdighetskänsla neka, att det varit sambandet mellan svenska staten och svenska kyrkan, som i forna tider utgjort svenska folkets styrka och beredt åt svenska folket en storhetstid. Herr Ekman önskar, att i allt fall det skall vara ett intimt förhållande mellan staten och kyrkan, och jag förmodar, att vi alla hysa den önskan, och herr Ekman betonar, och det göra alla kyrkans vänner, att vid reglerandet af förhållandet mellan stat och kyrka äfven åt kyrkan måtte beredas en själfständighet, Jag kan icke annat än därvid blott säga: må så ske! Men hitintills har jag åtminstone icke sett några bevis för, att man velat medgifva några positiva åtgärder för en sådan själfständighet. När jag nu ser på hvad som ligger i detta förslag, och hvad det antagligen kommer att medföra för framtiden, så är det icke något uppmuntrande tecken, som ligger 1 herr Byströms motion, som också är af lagutskottet tillstyrkt. Jag will visst icke bestrida, utan medgifver fullt och gärna, att i herr Byströms motion</w:t>
        <w:br/>
        <w:br/>
        <w:t>ligger något berättigadt. Men i den utsträckning, som hans förslag antyder, pekar den på en upplösning mellan stat och kyrka på en af de allra ömtåligaste och viktigaste punkterna, nämligen en upplösning af sambandet mellan svenska kyrkan och svenska folkskolan. Detta är kanske den allra ömtåligaste punkten. Herr Byströms motion pekar åt ett håll, där det kan vara flera statio-. ner, men där för mitt öga stå såsom klara konsekvenser de två stationerna: först konfessionslösa folkskolor, sedan religionslösa folkskolor. Detta är perspektivet, När i motionen säges, att dessa, som så utträdt — och det är icke fråga om blott dissenters, utan det är också fråga om dem, som i herr Räfs motion kallas hedningar — icke böra hafva inflytande på religionsundervisningen i skolorna, uttalas ju en välment tanke. Men huru mycken kraft bär den inom sig, om åt dessa utträdde skall medgifvas att välja skolråd, välja folkskollärare m. m.? Och äfven oafsedt detta blir väl den konsekventa utvecklingen den, som jag sagt. Jag tror därför att det är snarast att beteckna som en fiktion, när man på: samma gång förordar hvad lagutskottet här har förordat och ändå vill värna om religionsundervisningen i våra svenska folkskolor.</w:t>
        <w:br/>
        <w:br/>
        <w:t xml:space="preserve">Jag skall nu icke säga något mot utskottets beslut eller utskottets motivering mer än i en enda punkt eller ett enda ord. Detta är verkligen rätt betecknande, och det är för mig ganska smärtsamt att hafva sett detta ena ord. Sedan deti motiveringen sagts, att ett bifall till herr Ekmans motion »måste medföra nödvändigheten af ändringar i åtskilliga förhållanden, som beröra såväl det borgerliga samhället som ock särskildt kyrkan», säger utskottet — och det är de orden, som jag önskar, att de icke stått där —: »I främsta rummet framställer sig därvid» etc. Äfven här stannar man sålunda vid det blott negativa, tager blott hänsikt till dem, som äro motståndare mot vår svenska kyrka. Här hade man önskat, att utskottet hade aktat något på hvad herr Ekman i sin motion betonat, att det, som i främsta rummet bör tillses, skulle vara vår svenska folkkyrkas bästa, men nu står här 1 stället: i främsta rummet skall tagas hänsikt till dem, som icke vilja tillhöra vår svenska folkkyrka, och icke ett ord är sagdt om det bästa i herr Ekmans motion, nämligen om behofvet af att åt vår svenska kyrka värna om själfständighet. Om nu bifall till utskottets förslag gifves, hvilket jag tager för afgjordt, vill jag blott uttala den förhoppning, att, när den begärda utredningen kommer att verkställas, utredningen må icke blott taga hänsikt till dessa två kategorier, som i motionen äro omnämnda, dissenters och fienderna till vår svenska kyrka och till kristendomen, utan att också det må tagas hänsikt till vår egen kyrkas behof och hvad </w:t>
      </w:r>
      <w:r>
        <w:rPr>
          <w:b/>
        </w:rPr>
        <w:t>hon²</w:t>
      </w:r>
      <w:r>
        <w:rPr>
          <w:b w:val="0"/>
        </w:rPr>
        <w:t xml:space="preserve"> kan hafva rätt att fordra och hvad det svenska folkets bästa i detta afseende kräfver. Här är icke fråga om någon viss kyrkoorganisation blott, några vissa former eller lagar, utan här är den oändligt mycket djupare och större frågan, huru tillfälle</w:t>
        <w:br/>
        <w:br/>
        <w:t xml:space="preserve">skall beredas åt den svenska kyrkan att med de realiteter, som äro lagda i </w:t>
      </w:r>
      <w:r>
        <w:rPr>
          <w:b/>
        </w:rPr>
        <w:t>hennes²</w:t>
      </w:r>
      <w:r>
        <w:rPr>
          <w:b w:val="0"/>
        </w:rPr>
        <w:t xml:space="preserve"> hand att vårda, befordra det svenska folkets vil. Jag skall icke göra något yrkande.</w:t>
      </w:r>
    </w:p>
    <w:p>
      <w:pPr>
        <w:pStyle w:val="Heading2"/>
      </w:pPr>
      <w:r>
        <w:t>2. Per Sörensson (–, man)</w:t>
      </w:r>
    </w:p>
    <w:p>
      <w:r>
        <w:rPr>
          <w:b w:val="0"/>
        </w:rPr>
        <w:t>Det kan möjligen synas öfverflödigt, att jag yttrar mig i denna fråga efter hvad som nu föregått, men då jag förmodar, att det är sista gången frågan på det förberedande stadiet är före i denna kammare, har jag velat säga några ord.</w:t>
        <w:br/>
        <w:br/>
        <w:t>Det är resultatet af tre motioner, hvilket föreligger i lagutskottets kläm, och dessa iro visserligen af olika innebörd, men syftet är dock ungefärligen detsamma för dem alla. Om det gällt att här bifalla herr Räfs motion i den form, som här föreligger, skulle jag för min del utan tvifvel röstat nej, ty så lättvindigt går det icke, att man blott i en skrifvelse hemställer, att Kungl. Maj:t ville framlägga förslag till sådan ändring i förordningen den 31 oktober 1873 angående främmande trosbekännare och deras religionsöfning, »att det lämnades fritt för hvarje svensk undersåte, som fyllt 21 år, att utträda ur den svenska statskyrkan». Det skulle enligt mitt förmenande varit i hög grad betänkligt, ty där äro så många frågor, som i detta sammanhang böra tagas i betraktande, att man icke kan på detta sätt lösgöra en enda fråga.</w:t>
        <w:br/>
        <w:br/>
        <w:t>Beträffande herr Byströms motion synes ju rätt mycket tala för att den kunde vinna beaktande, ehuru man kan vara något tveksam, om man tänker på hvad som enligt tidningarna i dessa dagar har ägt rum t. ex. vid en kyrkostimma i Katarina. Man kan, säger jag, vara tveksam om huruvida man är böjd för att låta dessa, som sannolikt ämna utträda och som äro i högsta måtto fientliga mot kristen ordning och kristen tro, deltaga i så viktiga frågor, som då det gäller att bestämma öfver folkskolan och dess angelägenheter, men frågan bör utan tvifvel tagas i betraktande uti detta sammanhang, och jag säger ännu en gång, att det är ju mycket, som talar för att åtminstone delvis bifalla herr Byströms motion.</w:t>
        <w:br/>
        <w:br/>
        <w:t>Herr Ekman ser saken mycket djupare och mycket allvarligare, och jag kan icke neka till att jag vill uttala mitt hjärtliga tack till herr Ekman för den grundliga utredning, som han har gifvit denna fråga. Han har påvisat de stora och viktiga konsekvenser, som denna fråga om utträde ur statskyrkan har med sig, konsekvenser, som äro mycket betydelsefulla för både'stat och kyrka. Om, såsom det synes, det skulle kunna blifva ett bättre förhållande åtminstone för kyrkan genom detta utträdande, skulle jag af allt bjärta önska detta. Att staten måste fordra kyrkans hjälp i många hänseenden, det framgår alldeles tydligt af herr Ekmans framställning, likasom att kyrkan också å sin sida bör hos staten hafva stöd och lämna till staten det stöd, som ligger i dess makt. Herr Ekman har emellertid vid påpekandet af de många förhållanden, som han ansett kräfva en utredning, glömt, såvidt jag kan förstå, ett mycket viktigt fall, nämligen frågan om dessa utträdande personers förhållande i fråga om edgång. Detta är dock ur rättskipningens</w:t>
        <w:br/>
        <w:br/>
        <w:t>Om vidgad synpunkt en sak, som icke kan lämnas ur räkningen, och äfven</w:t>
        <w:br/>
        <w:br/>
        <w:t>den frågan anser jag vara af en stor betydelse jämte de många andra, om hvilka herr Ekman påpekat, att de måtte tagas i noggrannt öfvervägande vid en förändrad lagstiftning i detta hän-</w:t>
        <w:br/>
        <w:br/>
        <w:t>Jag skall icke uppehålla kammaren längre, blott tillägga, att ifall lagutskottet hade upptagit herr Ekmans kläm ungefärligen oförändrad, skulle jag helst sett detta. Den lyder så: &gt;»Huruvida och under hvilka villkor det må kunna tillåtas medlem af svenska kyrkan att» ete. I allt fall tror jag dock, att det går väl för sig äfven som det nu är, och jag skall för min del be att få yrka bifall till lagutskottets förslag.</w:t>
      </w:r>
    </w:p>
    <w:p>
      <w:pPr>
        <w:pStyle w:val="Heading2"/>
      </w:pPr>
      <w:r>
        <w:t>3. Karl Ekman (Första kammarens protektionistiska parti, man)</w:t>
      </w:r>
    </w:p>
    <w:p>
      <w:r>
        <w:rPr>
          <w:b w:val="0"/>
        </w:rPr>
        <w:t>Då jag är motionär i frågan, skall jag be att få yttra några ord till förmån för utskottets hemställan.</w:t>
        <w:br/>
        <w:br/>
        <w:t>Jag vill då till en början erinra därom, att denna kammare i fjol enhälligt beslöt en skrifvelse till Kungl. Maj:t med begäran om fullständig revision af kyrkolagen. Andra Kammaren var af motsatt mening, hvadan det ifrågasatta skrifvelseförslaget förföll. Sedermera har emellertid frågan förts in, om jag så må säga, på ett mera praktiskt plan eller tagit en mera praktisk gestalt, i det att kyrkomötet i höstas beslöt att ingå till Kungl. Maj:t med anhållan, att Kungl. Maj:t täcktes låta verkställa utredning, om och i hvilken form ett mera aktivt deltagande och ett förökadt inflytande på det kyrkliga området skulle kunna beredas åt kyrkans lekmannamedlemmar och att vid sådan utredning särskildt måtte tagas i öfvervägande, huruvida icke nämnda syfte säkrast kunde vinnas genom en fullständigare tillämpning af synodalförfattningens grundsatser.</w:t>
        <w:br/>
        <w:br/>
        <w:t>Det kan emellertid icke vara kyrkomötets mening, att ett ökadt inflytande skulle beredas åt lekmannaelementet inom kyrkan, där detta element visar sig vara för kyrkan medvetet främmande eller rent af fientligt, eller att ett lekmannaelement af sådan beskaffenhet skulle tagas i anspråk för de nyvaknade kyrkliga intressena.</w:t>
        <w:br/>
        <w:br/>
        <w:t>Jag har för min del af intresse för kyrkan länge stått tveksam inför den frågan, huruvida det kunde vara tillrådligt att tilllåta fritt utträde. Men ju längre det lidit, desto mer har hos mig den öfvertygelsen stadgat sig, att man vid ett blifvande kyrkligt reformarbete icke står på fast mark, såframt man icke medgifver rätt till fritt utträde för dem, som afgjordt ställa sig i opposition icke blott mot dessa reformer, utan mot kyrkan själf.</w:t>
        <w:br/>
        <w:br/>
        <w:t xml:space="preserve">I och med det, att kyrkan blir befriad från dessa element, inträda helt naturligt för </w:t>
      </w:r>
      <w:r>
        <w:rPr>
          <w:b/>
        </w:rPr>
        <w:t>henne²</w:t>
      </w:r>
      <w:r>
        <w:rPr>
          <w:b w:val="0"/>
        </w:rPr>
        <w:t xml:space="preserve"> förutsättningarna att kunna utveckla långt mera lif och kraft än förut.</w:t>
        <w:br/>
        <w:br/>
        <w:t>Herrarna ha förmodligen litet hvar fått i sina händer en broschyr af Algot Ruhe, benämnd »Töm kyrkan». Där ser man hvad som tillämnas. Författarens meningsfränder uppmanas att just begagna sin ställning såsom medlemmar i kyrkan till att på</w:t>
        <w:br/>
        <w:br/>
        <w:t xml:space="preserve">allt sätt skada </w:t>
      </w:r>
      <w:r>
        <w:rPr>
          <w:b/>
        </w:rPr>
        <w:t>henne²</w:t>
      </w:r>
      <w:r>
        <w:rPr>
          <w:b w:val="0"/>
        </w:rPr>
        <w:t xml:space="preserve"> och framför allt till att motarbeta alla reformer, som kunna tänkas linda </w:t>
      </w:r>
      <w:r>
        <w:rPr>
          <w:b/>
        </w:rPr>
        <w:t>henne²</w:t>
      </w:r>
      <w:r>
        <w:rPr>
          <w:b w:val="0"/>
        </w:rPr>
        <w:t xml:space="preserve"> till styrka och föryngring. Om också dessa kyrkans fiender tills vidare icke kunna uteslutas ur </w:t>
      </w:r>
      <w:r>
        <w:rPr>
          <w:b/>
        </w:rPr>
        <w:t>hennes²</w:t>
      </w:r>
      <w:r>
        <w:rPr>
          <w:b w:val="0"/>
        </w:rPr>
        <w:t xml:space="preserve"> gemenskap, så bör man väl i allt fall icke med tvångsmakt kvarhålla dem, om de äro nog ärliga att vilja utträda.</w:t>
        <w:br/>
        <w:br/>
        <w:t xml:space="preserve">Nej, skall kyrkan kunna återvinna inre lifskraft och därmed blifva till välsignelse för vårt folk och en källa till ny styrka äfven för staten, så måste </w:t>
      </w:r>
      <w:r>
        <w:rPr>
          <w:b/>
        </w:rPr>
        <w:t>hon²</w:t>
      </w:r>
      <w:r>
        <w:rPr>
          <w:b w:val="0"/>
        </w:rPr>
        <w:t xml:space="preserve"> åter blifva sig själf. </w:t>
      </w:r>
      <w:r>
        <w:rPr>
          <w:b/>
        </w:rPr>
        <w:t>Hon²</w:t>
      </w:r>
      <w:r>
        <w:rPr>
          <w:b w:val="0"/>
        </w:rPr>
        <w:t xml:space="preserve"> kan och får icke längre räkna för sina sådana, som öppet tillkännagifva sig vara </w:t>
      </w:r>
      <w:r>
        <w:rPr>
          <w:b/>
        </w:rPr>
        <w:t>hennes²</w:t>
      </w:r>
      <w:r>
        <w:rPr>
          <w:b w:val="0"/>
        </w:rPr>
        <w:t xml:space="preserve"> motståndare och inom </w:t>
      </w:r>
      <w:r>
        <w:rPr>
          <w:b/>
        </w:rPr>
        <w:t>hennes²</w:t>
      </w:r>
      <w:r>
        <w:rPr>
          <w:b w:val="0"/>
        </w:rPr>
        <w:t xml:space="preserve"> eget sköte motarbeta </w:t>
      </w:r>
      <w:r>
        <w:rPr>
          <w:b/>
        </w:rPr>
        <w:t>henne²</w:t>
      </w:r>
      <w:r>
        <w:rPr>
          <w:b w:val="0"/>
        </w:rPr>
        <w:t>.</w:t>
        <w:br/>
        <w:br/>
        <w:t>Nu invänder man, att en af kyrkans allra viktigaste uppgifter är att vårda sig om just dessa, som kommit bort från kristen tro och kristet samfundslif, och att kyrkan har en bestämd kallelse och plikt att, trots allt det förnedrande, som däri ligger, dock försöka att utföra sin frälsningsgärning äfven bland dem. Ja, tillfälle därtill kan ju gifvas vid utförandet af hvarjehanda prästerliga förrättningar, genom hvilka presterskapet kommer i beröring med församlingsborna, såsom vid vigsel, dop, jordfästning m. m. eller vid särskildt anordnade andaktsstunder eller husbesök. Men går det verkligen i allmänhet så till? Är det icke snarare så, att de flesta af de personer, som skulle tänkas komma att utträda ur kyrkan, helst undandraga sig hvarje beröring med prästerskapet. De komma icke till dessa andaktsstunder, de låta icke kyrkligt viga sig, de låta icke döpa sina barn, de låta dem icke konfirmeras. Först när döden nalkas, kan det hända, att en och annan är villig att mottaga själasörjaren; men jag föreställer mig, att i sådant fall, eller när eljest prästerligt biträde påkallas, själasörjaren skall vara lika villig att komma, vare sig den som begär hans hjälp tillhör kyrkan eller ej.</w:t>
        <w:br/>
        <w:br/>
        <w:t xml:space="preserve">Helt annorlunda blir det, sedan de af kyrkomötet föreslagna reformerna blifvit genomförda, och lekmännen fått en bestämdt gifven plats äfven uti det själavårdande församlingsarbetet. Härför intresserade lekmän hafva mycket lättare att nå de vilsekomna och att inverka på dem, än prästen i sin ämbetsställning har. Och långt ifrån att kyrkan sålunda skulle lämna de utträdda utan vård, kommer </w:t>
      </w:r>
      <w:r>
        <w:rPr>
          <w:b/>
        </w:rPr>
        <w:t>hon²</w:t>
      </w:r>
      <w:r>
        <w:rPr>
          <w:b w:val="0"/>
        </w:rPr>
        <w:t xml:space="preserve"> att, just genom det kristliga lekmannaelementet, utöfva en mångsidig och en kraftig missionerande verksamhet för att på allt sätt söka vinna dessa bortkomna åter för kristen tro och kristligt lif.</w:t>
        <w:br/>
        <w:br/>
        <w:t>Man invänder vidare, såsom vi hört, att medgifvandet till fritt utträde innebär första afsteget från den principen, att det svenska folket skall vara ett kristet folk.</w:t>
        <w:br/>
        <w:br/>
        <w:t>Men är icke detta afsteg faktiskt taget, då man redan nu medgifver utträde till uppgifvet kristligt trossamfund, utan att på något sätt kontrollera, att den utträdande sedermera verkligen ansluter sig till ett sådant samfund?</w:t>
        <w:br/>
        <w:br/>
        <w:t>Teoretiskt sedt, har staten till följd af sin karaktär af kristen stat hittills ansetts pliktig att fordra, att hvarje medborgare skall</w:t>
        <w:br/>
        <w:br/>
        <w:t>tillhöra en kristen trosbekännelse och i främsta rummet statskyrkans. Men att en stat är kristlig betyder icke, att hvarje medborgare nödvändigt måste med eller mot sin vilja räknas såsom kristen; utan det betyder, att staten i det stora hela hvilar på kristlig grund, att lagstiftning och offentligt och enskildt lif äro genomträngda eller åtminstone i allt väsentligt stå under inflytande af kristen åskådning. Den omständigheten, att enskilda medborgare tillåtas utträda ur kyrkan, hindrar sålunda icke, att staten det oaktadt är i verklig mening kristlig.</w:t>
        <w:br/>
        <w:br/>
        <w:t>Dit hör då också såsom en oeftergiflig fordran, att barnen af de utträdda skola åtnjuta undervisning i kristendomens läror. Det är den kristliga statens fordran att så skall ske, och för denna statsprincip måste föräldrars eller målsmäns till äfventyrs motsatta individuella önskningar vika. I Preussen t. ex., där sedan långt tillbaka utträdet ur kyrkan är fullkomligt fritt, meddelas heller aldrig dispens från kristendomsundervisningen i skolorna, utan att säkerhet ställes för att annan tillfredsställande undervisning i kristen lära bibringas barnen.</w:t>
        <w:br/>
        <w:br/>
        <w:t>Det har anmärkts såsom något betänkligt, att fritt utträde ur kyrkan skall komma att medföra, att de utträdda böra få deltaga i kyrkostämmas förhandlingar och beslut rörande skolväsendet och andra ej rent kyrkliga frågor. Därtill vill jag svara, att den utvecklingen kommer ändå af sig själf, äfven om ett beslut i den riktningen icke skulle komma att fattas här i dag, nämligen för dem, som redan nu hafva rätt till utträde ur kyrkan. För oss, som vilja värna om kristen tro och om statens bibehållande på kristlig grund, kommer därvid hufvudvikten att ligga på, att förhållandena så ordnas, att kristendomens ställning i våra skolor icke äfventyras, och att dessa utträdda och de, som ytterligare kunna medgifvas rätt till utträde, icke få deltaga i öfverläggningar och beslut om sådana frågor, som röra kristendomsundervisningen. Och här gäller det ju just att nu genom en skrifvelse till Kungl. Maj:t begära att få dessa förhållanden ordnade, innan det blir för sent.</w:t>
        <w:br/>
        <w:br/>
        <w:t xml:space="preserve">Äfven från en annan sida sedt har staten, enligt mitt förmenande, en bestämd förpliktelse att tillåta fritt utträde ur kyrkan för dem, som af ärlig öfvertygelse icke kunna förlika sig med att kvarstanna inom </w:t>
      </w:r>
      <w:r>
        <w:rPr>
          <w:b/>
        </w:rPr>
        <w:t>henne²</w:t>
      </w:r>
      <w:r>
        <w:rPr>
          <w:b w:val="0"/>
        </w:rPr>
        <w:t>. Jag syftar härvid icke på några kyrkans fiender utan på de ganska många, som verkligen äro religiöst intresserade, men som icke kunna dela statskyrkans uppfattning. I 1809 års regeringsform, $ 16, stadgas, som bekant, att Konungen bör ingens samvete tvinga eller tvinga låta. Den religionsfrihetens princip, som här uttalas och som sedermera blifvit på allt flera punkter i lagstiftningen genomförd, kräfver också i nu förevarande afseende borttagandet af hvarje tvångsanslutning till svenska kyrkan. Ty just i religionsfrågor kräfves en särskild grannlagenhet emot dem, som taga sådana frågor på allvar.</w:t>
        <w:br/>
        <w:br/>
        <w:t>Jag vill sluta med att erinra om ett yttrande, som af en högt aktad Iedamot på Göteborgsbänken fälldes under debatten i fjol</w:t>
        <w:br/>
        <w:br/>
        <w:t xml:space="preserve">— och därmed vill jag hafva uttryckt, hvad äfven jag anser vara kärnpunkten i föreliggande fråga: Han uttalade såsom sin öfvertygelse, att »det är en fördel, att från svenska kyrkan sådana få afsöndra sig äfven i yttre mening, som i inre mening redan hafva vändt </w:t>
      </w:r>
      <w:r>
        <w:rPr>
          <w:b/>
        </w:rPr>
        <w:t>henne²</w:t>
      </w:r>
      <w:r>
        <w:rPr>
          <w:b w:val="0"/>
        </w:rPr>
        <w:t xml:space="preserve"> ryggen.»</w:t>
        <w:br/>
        <w:br/>
        <w:t>Jag anhåller, herr talman, att få yrka bifall till utskottets hemställan.</w:t>
      </w:r>
    </w:p>
    <w:p>
      <w:pPr>
        <w:pStyle w:val="Heading2"/>
      </w:pPr>
      <w:r>
        <w:t>4. Lorents Petersson (–, man)</w:t>
      </w:r>
    </w:p>
    <w:p>
      <w:r>
        <w:rPr>
          <w:b w:val="0"/>
        </w:rPr>
        <w:t>Jag begärde ordet för att tillkännagifva, attjag icke deltagiti detta ärendes behandling inom lagutskottet. Då i fjol frågan om rätt till utträde ur svenska statskyrkan för personer, som icke uppgifvit något annat kristet trossamfund, be-</w:t>
        <w:br/>
        <w:br/>
        <w:t>andlades, yrkade jag bifall till lagutskottets förslag, men jag framhöll därvid uttryckligen, att ett sådant bifall skedde under förutsättning, att de förhållanden, som hittills varit rådande i fråga om barnens uppfostran, skulle bibehållas oförändrade och åtgärder vidtagas för att äfven barnen till sådana föräldrar, som komme att utträda, skulle få religionsundervisning. Nu kan jag för min del icke annat än beklaga, att icke något särskildt i den vägen framhållits i motiveringen till lagutskottets utlåtande, och för min del instämmer jag naturligtvis till alla delar i hvad den förste ärade talaren till sist sade, att, när det gäller omgestaltning af nuvarande förhållanden, man »i främsta rummet» bör se till att vår kyrkas bästa måtte komma att tillgodoses. Det är under uttalande af den förhoppningen, att ett sådant önskemål må komma till sin fulla rätt samt att öfver hufvud taget hela frågan behandlas under beaktande af det i många hänseenden behjärtansvärda program som i herr Ekmans motion uppställts, som jag yrkar bifall till lagutskottets förslag.</w:t>
      </w:r>
    </w:p>
    <w:p>
      <w:pPr>
        <w:pStyle w:val="Heading2"/>
      </w:pPr>
      <w:r>
        <w:t>5. Sigfrid Wieselgren (–, man)</w:t>
      </w:r>
    </w:p>
    <w:p>
      <w:r>
        <w:rPr>
          <w:b w:val="0"/>
        </w:rPr>
        <w:t>Det är en rätt gammal fråga den, som nu föreligger till kammarens behandling. Den debatterades i Riksdagen redan för mer än 30 år sedan, men den är dock icke densamma i dag som då. Då uppfattades den nästan uteslutande såsom en individuell frihetsfråga, man betonade mest den enskildes rätt att få framvisa klara färger, att få visa sina egna och icke blifva tvungen att visa färger, hvilka icke vore hans. På åtskilliga håll förknippades denna frågas behandling också med den om frihet från att betala skatt till kyrkliga ändamål. TI det hela taget var det en fullständigt individuell uppfattning, som låg till grund för frågans behandling.</w:t>
        <w:br/>
        <w:br/>
        <w:t xml:space="preserve">Af lagutskottets betänkande se vi, att den tiden är förbi, när frågan så kunde fattas, och man förstår i dag full väl, att den ock är en samhällelig fråga och att sannerligen hufvudvikten ligger vid den sidan af saken. Det är icke blott en fråga om rätt för individen att få bära klara färger, det är också en fråga för svenska kyrkan att få äga samma förmån, att få visa upp just sina färger och icke den blandning af dylika, som </w:t>
      </w:r>
      <w:r>
        <w:rPr>
          <w:b/>
        </w:rPr>
        <w:t>hon²</w:t>
      </w:r>
      <w:r>
        <w:rPr>
          <w:b w:val="0"/>
        </w:rPr>
        <w:t xml:space="preserve"> hittills har måst tåla sig med. Jag behöfver icke säga, att jag anser att i denna</w:t>
        <w:br/>
        <w:br/>
        <w:t>uppfattning af frågan ligger en bestämd fördel och ett bevis för utvecklingen inom kyrkan, då nämligen, såsom vi redan hört, kyrkans målsmän icke motsätta sig en utveckling i denna riktning. Men det är dock något, som härvid måste betonas, och det är de där orden, som förekomma i utskottets kläm, att Kungl. Maj:t ville taga i öfvervägande »under hvilka villkor» det må kunna tillåtas här ifrågvarande medlemmar af svenska kyrkan att utträda ur kyrkan. Jag skulle för min del helst sett klämmen formulerad så, att dessa ord »under hvilka villkor» också kunnat under sig subsummera den senare delen af utskottets kläm. Ty, mina herrar, såsom redan här är af föregående talare berördt, det är icke färdigt med att man blott särskiljer vissa saker från det kyrkliga samhällets handläggning såsom t. ex. i herr Byströms motion föreslås. Det är icke tillräckligt att göra den delning, som han i sin kläm har gjort, ty det kyrkligt religlösa intresset kan icke frånskiljas från en hel mängd af de frågor, som till det yttre kunna subsummeras under icke religiösa eller icke kyrkliga frågor. Nej, det smyger sig in litet hvarstädes, och skall icke den kristna samhällskulturen lida skada af ett sådant här boskifte, måste sannerligen äfven i dylika frågor beträffande »skolvården, församlingsbiblioteken och barnavårdsnämnderna» de kristna synpunkterna uppehållas och göras gällande i alldeles särskildt kraftig grad. Vi kunna t. ex. icke från skolan utmönstra undervisningen 1 den kristna trosläran, ty skulle vi göra det, skulle vi ju redan inom en generation få ett släkte, för hvilket kristendomen vore något mer eller mindre okändt. Det svenska samhällets utveckling skulle därigenom hafva, från religiös synpunkt sedt, tillskyndats de allra svåraste skador. Och det är alldeles påtagligt, att äfven från rent borgerlig eller social synpunkt skulle vårt folks kulturella utveckling härigenom lida ett betänkligt men.</w:t>
        <w:br/>
        <w:br/>
        <w:t>Jag ber därför att få i likhet med de föregående talarne betona, att denna skrifvelse från Riksdagen icke bör hos Kungl. Maj:t uppfattas såsom en fråga om ett mera mekaniskt verkställbart arbete, utan att de där orden »under hvilka villkor» måtte få beaktas äfven 1 fråga om klämmens senare del. Jag yrkar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